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52" w:lineRule="auto"/>
        <w:ind w:firstLine="0"/>
        <w:jc w:val="center"/>
      </w:pPr>
      <w:r>
        <w:rPr>
          <w:rFonts w:ascii="Times New Roman" w:hAnsi="Times New Roman"/>
          <w:b/>
          <w:i w:val="0"/>
          <w:sz w:val="22"/>
        </w:rPr>
        <w:t>ВОРОХТЯНСЬКИЙ ЛІЦЕЙ ВОРОХТЯНСЬКОЇ СЕЛИЩНОЇ РАДИ НАДВІРНЯНСЬКОГО РАЙОНУ ІВАНО-ФРАНКІВСЬКОЇ ОБЛАСТІ</w:t>
      </w:r>
    </w:p>
    <w:p>
      <w:pPr>
        <w:spacing w:before="0" w:after="140" w:line="252" w:lineRule="auto"/>
        <w:ind w:firstLine="0"/>
        <w:jc w:val="center"/>
      </w:pPr>
      <w:r>
        <w:rPr>
          <w:rFonts w:ascii="Times New Roman" w:hAnsi="Times New Roman"/>
          <w:b w:val="0"/>
          <w:i w:val="0"/>
          <w:sz w:val="20"/>
        </w:rPr>
        <w:t>Код ЄДРПОУ 20556165</w:t>
      </w:r>
    </w:p>
    <w:p>
      <w:pPr>
        <w:spacing w:before="0" w:after="0" w:line="252" w:lineRule="auto"/>
        <w:ind w:firstLine="0"/>
        <w:jc w:val="center"/>
      </w:pPr>
      <w:r>
        <w:rPr>
          <w:rFonts w:ascii="Times New Roman" w:hAnsi="Times New Roman"/>
          <w:b/>
          <w:i w:val="0"/>
          <w:sz w:val="28"/>
        </w:rPr>
        <w:t>ОБҐРУНТУВАННЯ</w:t>
      </w:r>
    </w:p>
    <w:p>
      <w:pPr>
        <w:spacing w:before="0" w:after="140" w:line="252" w:lineRule="auto"/>
        <w:ind w:firstLine="0"/>
        <w:jc w:val="center"/>
      </w:pPr>
      <w:r>
        <w:rPr>
          <w:rFonts w:ascii="Times New Roman" w:hAnsi="Times New Roman"/>
          <w:b/>
          <w:i w:val="0"/>
          <w:sz w:val="22"/>
        </w:rPr>
        <w:t>технічних та якісних характеристик предмета закупівлі, розміру бюджетного призначення та очікуваної вартості</w:t>
      </w:r>
    </w:p>
    <w:tbl>
      <w:tblPr>
        <w:tblStyle w:val="TableGrid"/>
        <w:tblW w:type="auto" w:w="0"/>
        <w:jc w:val="center"/>
        <w:tblLook w:firstColumn="1" w:firstRow="1" w:lastColumn="0" w:lastRow="0" w:noHBand="0" w:noVBand="1" w:val="04A0"/>
      </w:tblPr>
      <w:tblGrid>
        <w:gridCol w:w="5185"/>
        <w:gridCol w:w="5185"/>
      </w:tblGrid>
      <w:tr>
        <w:tc>
          <w:tcPr>
            <w:tcW w:type="dxa" w:w="5185"/>
            <w:vAlign w:val="center"/>
            <w:shd w:fill="EAF2F8"/>
          </w:tcPr>
          <w:p>
            <w:pPr>
              <w:spacing w:after="0" w:before="0"/>
              <w:jc w:val="left"/>
            </w:pPr>
            <w:r/>
            <w:r>
              <w:rPr>
                <w:rFonts w:ascii="Times New Roman" w:hAnsi="Times New Roman"/>
                <w:b/>
                <w:sz w:val="20"/>
              </w:rPr>
              <w:t>Найменування предмета закупівлі</w:t>
            </w:r>
          </w:p>
        </w:tc>
        <w:tc>
          <w:tcPr>
            <w:tcW w:type="dxa" w:w="5185"/>
            <w:vAlign w:val="center"/>
          </w:tcPr>
          <w:p>
            <w:pPr>
              <w:spacing w:after="0" w:before="0"/>
              <w:jc w:val="left"/>
            </w:pPr>
            <w:r/>
            <w:r>
              <w:rPr>
                <w:rFonts w:ascii="Times New Roman" w:hAnsi="Times New Roman"/>
                <w:b w:val="0"/>
                <w:sz w:val="20"/>
              </w:rPr>
              <w:t>Послуги з організації гарячого харчування учнів Ворохтянського ліцею (аутсорсинг)</w:t>
            </w:r>
          </w:p>
        </w:tc>
      </w:tr>
      <w:tr>
        <w:tc>
          <w:tcPr>
            <w:tcW w:type="dxa" w:w="5185"/>
            <w:vAlign w:val="center"/>
            <w:shd w:fill="EAF2F8"/>
          </w:tcPr>
          <w:p>
            <w:pPr>
              <w:spacing w:after="0" w:before="0"/>
              <w:jc w:val="left"/>
            </w:pPr>
            <w:r/>
            <w:r>
              <w:rPr>
                <w:rFonts w:ascii="Times New Roman" w:hAnsi="Times New Roman"/>
                <w:b/>
                <w:sz w:val="20"/>
              </w:rPr>
              <w:t>Код за ДК 021:2015</w:t>
            </w:r>
          </w:p>
        </w:tc>
        <w:tc>
          <w:tcPr>
            <w:tcW w:type="dxa" w:w="5185"/>
            <w:vAlign w:val="center"/>
          </w:tcPr>
          <w:p>
            <w:pPr>
              <w:spacing w:after="0" w:before="0"/>
              <w:jc w:val="left"/>
            </w:pPr>
            <w:r/>
            <w:r>
              <w:rPr>
                <w:rFonts w:ascii="Times New Roman" w:hAnsi="Times New Roman"/>
                <w:b w:val="0"/>
                <w:sz w:val="20"/>
              </w:rPr>
              <w:t>ДК 021:2015: 55320000-9 — Послуги з організації харчування</w:t>
            </w:r>
          </w:p>
        </w:tc>
      </w:tr>
      <w:tr>
        <w:tc>
          <w:tcPr>
            <w:tcW w:type="dxa" w:w="5185"/>
            <w:vAlign w:val="center"/>
            <w:shd w:fill="EAF2F8"/>
          </w:tcPr>
          <w:p>
            <w:pPr>
              <w:spacing w:after="0" w:before="0"/>
              <w:jc w:val="left"/>
            </w:pPr>
            <w:r/>
            <w:r>
              <w:rPr>
                <w:rFonts w:ascii="Times New Roman" w:hAnsi="Times New Roman"/>
                <w:b/>
                <w:sz w:val="20"/>
              </w:rPr>
              <w:t>Вид закупівлі</w:t>
            </w:r>
          </w:p>
        </w:tc>
        <w:tc>
          <w:tcPr>
            <w:tcW w:type="dxa" w:w="5185"/>
            <w:vAlign w:val="center"/>
          </w:tcPr>
          <w:p>
            <w:pPr>
              <w:spacing w:after="0" w:before="0"/>
              <w:jc w:val="left"/>
            </w:pPr>
            <w:r/>
            <w:r>
              <w:rPr>
                <w:rFonts w:ascii="Times New Roman" w:hAnsi="Times New Roman"/>
                <w:b w:val="0"/>
                <w:sz w:val="20"/>
              </w:rPr>
              <w:t>Відкриті торги з особливостями</w:t>
            </w:r>
          </w:p>
        </w:tc>
      </w:tr>
      <w:tr>
        <w:tc>
          <w:tcPr>
            <w:tcW w:type="dxa" w:w="5185"/>
            <w:vAlign w:val="center"/>
            <w:shd w:fill="EAF2F8"/>
          </w:tcPr>
          <w:p>
            <w:pPr>
              <w:spacing w:after="0" w:before="0"/>
              <w:jc w:val="left"/>
            </w:pPr>
            <w:r/>
            <w:r>
              <w:rPr>
                <w:rFonts w:ascii="Times New Roman" w:hAnsi="Times New Roman"/>
                <w:b/>
                <w:sz w:val="20"/>
              </w:rPr>
              <w:t>КЕКВ</w:t>
            </w:r>
          </w:p>
        </w:tc>
        <w:tc>
          <w:tcPr>
            <w:tcW w:type="dxa" w:w="5185"/>
            <w:vAlign w:val="center"/>
          </w:tcPr>
          <w:p>
            <w:pPr>
              <w:spacing w:after="0" w:before="0"/>
              <w:jc w:val="left"/>
            </w:pPr>
            <w:r/>
            <w:r>
              <w:rPr>
                <w:rFonts w:ascii="Times New Roman" w:hAnsi="Times New Roman"/>
                <w:b w:val="0"/>
                <w:sz w:val="20"/>
              </w:rPr>
              <w:t>2230 — Продукти харчування</w:t>
            </w:r>
          </w:p>
        </w:tc>
      </w:tr>
      <w:tr>
        <w:tc>
          <w:tcPr>
            <w:tcW w:type="dxa" w:w="5185"/>
            <w:vAlign w:val="center"/>
            <w:shd w:fill="EAF2F8"/>
          </w:tcPr>
          <w:p>
            <w:pPr>
              <w:spacing w:after="0" w:before="0"/>
              <w:jc w:val="left"/>
            </w:pPr>
            <w:r/>
            <w:r>
              <w:rPr>
                <w:rFonts w:ascii="Times New Roman" w:hAnsi="Times New Roman"/>
                <w:b/>
                <w:sz w:val="20"/>
              </w:rPr>
              <w:t>Очікувана вартість</w:t>
            </w:r>
          </w:p>
        </w:tc>
        <w:tc>
          <w:tcPr>
            <w:tcW w:type="dxa" w:w="5185"/>
            <w:vAlign w:val="center"/>
          </w:tcPr>
          <w:p>
            <w:pPr>
              <w:spacing w:after="0" w:before="0"/>
              <w:jc w:val="left"/>
            </w:pPr>
            <w:r/>
            <w:r>
              <w:rPr>
                <w:rFonts w:ascii="Times New Roman" w:hAnsi="Times New Roman"/>
                <w:b w:val="0"/>
                <w:sz w:val="20"/>
              </w:rPr>
              <w:t>1 622 950,00 грн без ПДВ</w:t>
            </w:r>
          </w:p>
        </w:tc>
      </w:tr>
    </w:tbl>
    <w:p>
      <w:pPr>
        <w:spacing w:before="100" w:after="40" w:line="252" w:lineRule="auto"/>
        <w:ind w:firstLine="0"/>
      </w:pPr>
      <w:r>
        <w:rPr>
          <w:rFonts w:ascii="Times New Roman" w:hAnsi="Times New Roman"/>
          <w:b/>
          <w:i w:val="0"/>
          <w:sz w:val="22"/>
        </w:rPr>
        <w:t>1. Обґрунтування потреби</w:t>
      </w:r>
    </w:p>
    <w:p>
      <w:pPr>
        <w:spacing w:before="0" w:after="60" w:line="252" w:lineRule="auto"/>
        <w:ind w:firstLine="454"/>
      </w:pPr>
      <w:r>
        <w:rPr>
          <w:rFonts w:ascii="Times New Roman" w:hAnsi="Times New Roman"/>
          <w:b w:val="0"/>
          <w:i w:val="0"/>
          <w:sz w:val="22"/>
        </w:rPr>
        <w:t>Закупівля необхідна для безперервної організації одноразового гарячого харчування учнів Ворохтянського ліцею у навчальні дні до 31.12.2026. Кількість учнів залишається відповідною попередньо визначеній потребі: 166 учнів 1–4 класів та 419 учнів 5–11 класів, у тому числі 1 дитина-сирота/дитина, позбавлена батьківського піклування. Фактична кількість порцій визначатиметься щоденно за фактичною присутністю учнів.</w:t>
      </w:r>
    </w:p>
    <w:p>
      <w:pPr>
        <w:spacing w:before="80" w:after="40" w:line="252" w:lineRule="auto"/>
        <w:ind w:firstLine="0"/>
      </w:pPr>
      <w:r>
        <w:rPr>
          <w:rFonts w:ascii="Times New Roman" w:hAnsi="Times New Roman"/>
          <w:b/>
          <w:i w:val="0"/>
          <w:sz w:val="22"/>
        </w:rPr>
        <w:t>2. Обґрунтування технічних та якісних характеристик</w:t>
      </w:r>
    </w:p>
    <w:p>
      <w:pPr>
        <w:spacing w:before="0" w:after="60" w:line="252" w:lineRule="auto"/>
        <w:ind w:firstLine="454"/>
      </w:pPr>
      <w:r>
        <w:rPr>
          <w:rFonts w:ascii="Times New Roman" w:hAnsi="Times New Roman"/>
          <w:b w:val="0"/>
          <w:i w:val="0"/>
          <w:sz w:val="22"/>
        </w:rPr>
        <w:t>Технічні та якісні характеристики сформовано з урахуванням специфіки організації харчування в закладі освіти, вимог постанови КМУ №305, Санітарного регламенту для закладів загальної середньої освіти, законодавства про безпечність та якість харчових продуктів і процедур, заснованих на принципах НАССР. Послуги надаються на базі харчоблоку Ворохтянського ліцею за моделлю «базова кухня». Виконавець забезпечує харчові продукти, персонал, технологічний процес, санітарний стан робочої зони, простежуваність продуктів, дотримання температурних режимів, бракераж і добові проби.</w:t>
      </w:r>
    </w:p>
    <w:p>
      <w:pPr>
        <w:spacing w:before="0" w:after="60" w:line="252" w:lineRule="auto"/>
        <w:ind w:firstLine="454"/>
      </w:pPr>
      <w:r>
        <w:rPr>
          <w:rFonts w:ascii="Times New Roman" w:hAnsi="Times New Roman"/>
          <w:b w:val="0"/>
          <w:i w:val="0"/>
          <w:sz w:val="22"/>
        </w:rPr>
        <w:t>З метою залучення спроможного виконавця кваліфікаційні вимоги передбачають документальне підтвердження наявності достатнього персоналу, відповідального за виробництво/шеф-кухаря з профільною підготовкою та досвідом, не менше трьох кваліфікованих кухарів, відповідальної особи за НАССР, матеріально-технічної бази, досвіду виконання договорів з регулярного гарячого харчування та фінансової спроможності. Такі вимоги пов’язані з предметом закупівлі та необхідністю одночасного, безпечного і безперервного харчування значної кількості учнів.</w:t>
      </w:r>
    </w:p>
    <w:p>
      <w:pPr>
        <w:spacing w:before="80" w:after="40" w:line="252" w:lineRule="auto"/>
        <w:ind w:firstLine="0"/>
      </w:pPr>
      <w:r>
        <w:rPr>
          <w:rFonts w:ascii="Times New Roman" w:hAnsi="Times New Roman"/>
          <w:b/>
          <w:i w:val="0"/>
          <w:sz w:val="22"/>
        </w:rPr>
        <w:t>3. Розрахунок очікуваної вартості та бюджетного призначення</w:t>
      </w:r>
    </w:p>
    <w:p>
      <w:pPr>
        <w:spacing w:before="0" w:after="60" w:line="252" w:lineRule="auto"/>
        <w:ind w:firstLine="454"/>
      </w:pPr>
      <w:r>
        <w:rPr>
          <w:rFonts w:ascii="Times New Roman" w:hAnsi="Times New Roman"/>
          <w:b w:val="0"/>
          <w:i w:val="0"/>
          <w:sz w:val="22"/>
        </w:rPr>
        <w:t>Очікувану вартість визначено розрахунковим методом: планова кількість порцій множиться на граничну вартість однієї порції, встановлену рішенням Ворохтянської селищної ради від 20.08.2026 №616-73/2026. Плановий обсяг сформовано в межах наявного фінансування на період до 31.12.2026.</w:t>
      </w:r>
    </w:p>
    <w:tbl>
      <w:tblPr>
        <w:tblStyle w:val="TableGrid"/>
        <w:tblW w:type="auto" w:w="0"/>
        <w:jc w:val="center"/>
        <w:tblLook w:firstColumn="1" w:firstRow="1" w:lastColumn="0" w:lastRow="0" w:noHBand="0" w:noVBand="1" w:val="04A0"/>
      </w:tblPr>
      <w:tblGrid>
        <w:gridCol w:w="1728"/>
        <w:gridCol w:w="1728"/>
        <w:gridCol w:w="1728"/>
        <w:gridCol w:w="1728"/>
        <w:gridCol w:w="1728"/>
        <w:gridCol w:w="1728"/>
      </w:tblGrid>
      <w:tr>
        <w:trPr>
          <w:trHeight w:val="369"/>
        </w:trPr>
        <w:tc>
          <w:tcPr>
            <w:tcW w:type="dxa" w:w="1728"/>
            <w:vAlign w:val="center"/>
            <w:shd w:fill="D9EAD3"/>
          </w:tcPr>
          <w:p>
            <w:pPr>
              <w:spacing w:after="0" w:before="0"/>
              <w:jc w:val="center"/>
            </w:pPr>
            <w:r/>
            <w:r>
              <w:rPr>
                <w:rFonts w:ascii="Times New Roman" w:hAnsi="Times New Roman"/>
                <w:b/>
                <w:sz w:val="18"/>
              </w:rPr>
              <w:t>Лот / категорія</w:t>
            </w:r>
          </w:p>
        </w:tc>
        <w:tc>
          <w:tcPr>
            <w:tcW w:type="dxa" w:w="1728"/>
            <w:vAlign w:val="center"/>
            <w:shd w:fill="D9EAD3"/>
          </w:tcPr>
          <w:p>
            <w:pPr>
              <w:spacing w:after="0" w:before="0"/>
              <w:jc w:val="center"/>
            </w:pPr>
            <w:r/>
            <w:r>
              <w:rPr>
                <w:rFonts w:ascii="Times New Roman" w:hAnsi="Times New Roman"/>
                <w:b/>
                <w:sz w:val="18"/>
              </w:rPr>
              <w:t>Планова кількість порцій</w:t>
            </w:r>
          </w:p>
        </w:tc>
        <w:tc>
          <w:tcPr>
            <w:tcW w:type="dxa" w:w="1728"/>
            <w:vAlign w:val="center"/>
            <w:shd w:fill="D9EAD3"/>
          </w:tcPr>
          <w:p>
            <w:pPr>
              <w:spacing w:after="0" w:before="0"/>
              <w:jc w:val="center"/>
            </w:pPr>
            <w:r/>
            <w:r>
              <w:rPr>
                <w:rFonts w:ascii="Times New Roman" w:hAnsi="Times New Roman"/>
                <w:b/>
                <w:sz w:val="18"/>
              </w:rPr>
              <w:t>Ціна 1 порції, грн</w:t>
            </w:r>
          </w:p>
        </w:tc>
        <w:tc>
          <w:tcPr>
            <w:tcW w:type="dxa" w:w="1728"/>
            <w:vAlign w:val="center"/>
            <w:shd w:fill="D9EAD3"/>
          </w:tcPr>
          <w:p>
            <w:pPr>
              <w:spacing w:after="0" w:before="0"/>
              <w:jc w:val="center"/>
            </w:pPr>
            <w:r/>
            <w:r>
              <w:rPr>
                <w:rFonts w:ascii="Times New Roman" w:hAnsi="Times New Roman"/>
                <w:b/>
                <w:sz w:val="18"/>
              </w:rPr>
              <w:t>Очікувана вартість, грн</w:t>
            </w:r>
          </w:p>
        </w:tc>
        <w:tc>
          <w:tcPr>
            <w:tcW w:type="dxa" w:w="1728"/>
            <w:vAlign w:val="center"/>
            <w:shd w:fill="D9EAD3"/>
          </w:tcPr>
          <w:p>
            <w:pPr>
              <w:spacing w:after="0" w:before="0"/>
              <w:jc w:val="center"/>
            </w:pPr>
            <w:r/>
            <w:r>
              <w:rPr>
                <w:rFonts w:ascii="Times New Roman" w:hAnsi="Times New Roman"/>
                <w:b/>
                <w:sz w:val="18"/>
              </w:rPr>
              <w:t>Місцевий бюджет, грн</w:t>
            </w:r>
          </w:p>
        </w:tc>
        <w:tc>
          <w:tcPr>
            <w:tcW w:type="dxa" w:w="1728"/>
            <w:vAlign w:val="center"/>
            <w:shd w:fill="D9EAD3"/>
          </w:tcPr>
          <w:p>
            <w:pPr>
              <w:spacing w:after="0" w:before="0"/>
              <w:jc w:val="center"/>
            </w:pPr>
            <w:r/>
            <w:r>
              <w:rPr>
                <w:rFonts w:ascii="Times New Roman" w:hAnsi="Times New Roman"/>
                <w:b/>
                <w:sz w:val="18"/>
              </w:rPr>
              <w:t>Субвенція, грн</w:t>
            </w:r>
          </w:p>
        </w:tc>
      </w:tr>
      <w:tr>
        <w:trPr>
          <w:trHeight w:val="369"/>
        </w:trPr>
        <w:tc>
          <w:tcPr>
            <w:tcW w:type="dxa" w:w="1728"/>
            <w:vAlign w:val="center"/>
          </w:tcPr>
          <w:p>
            <w:pPr>
              <w:spacing w:after="0" w:before="0"/>
              <w:jc w:val="left"/>
            </w:pPr>
            <w:r/>
            <w:r>
              <w:rPr>
                <w:rFonts w:ascii="Times New Roman" w:hAnsi="Times New Roman"/>
                <w:b w:val="0"/>
                <w:sz w:val="18"/>
              </w:rPr>
              <w:t>Лот №1 — учні 1–4 класів</w:t>
            </w:r>
          </w:p>
        </w:tc>
        <w:tc>
          <w:tcPr>
            <w:tcW w:type="dxa" w:w="1728"/>
            <w:vAlign w:val="center"/>
          </w:tcPr>
          <w:p>
            <w:pPr>
              <w:spacing w:after="0" w:before="0"/>
              <w:jc w:val="center"/>
            </w:pPr>
            <w:r/>
            <w:r>
              <w:rPr>
                <w:rFonts w:ascii="Times New Roman" w:hAnsi="Times New Roman"/>
                <w:b w:val="0"/>
                <w:sz w:val="18"/>
              </w:rPr>
              <w:t>5 950</w:t>
            </w:r>
          </w:p>
        </w:tc>
        <w:tc>
          <w:tcPr>
            <w:tcW w:type="dxa" w:w="1728"/>
            <w:vAlign w:val="center"/>
          </w:tcPr>
          <w:p>
            <w:pPr>
              <w:spacing w:after="0" w:before="0"/>
              <w:jc w:val="center"/>
            </w:pPr>
            <w:r/>
            <w:r>
              <w:rPr>
                <w:rFonts w:ascii="Times New Roman" w:hAnsi="Times New Roman"/>
                <w:b w:val="0"/>
                <w:sz w:val="18"/>
              </w:rPr>
              <w:t>80,00</w:t>
            </w:r>
          </w:p>
        </w:tc>
        <w:tc>
          <w:tcPr>
            <w:tcW w:type="dxa" w:w="1728"/>
            <w:vAlign w:val="center"/>
          </w:tcPr>
          <w:p>
            <w:pPr>
              <w:spacing w:after="0" w:before="0"/>
              <w:jc w:val="center"/>
            </w:pPr>
            <w:r/>
            <w:r>
              <w:rPr>
                <w:rFonts w:ascii="Times New Roman" w:hAnsi="Times New Roman"/>
                <w:b w:val="0"/>
                <w:sz w:val="18"/>
              </w:rPr>
              <w:t>476 000,00</w:t>
            </w:r>
          </w:p>
        </w:tc>
        <w:tc>
          <w:tcPr>
            <w:tcW w:type="dxa" w:w="1728"/>
            <w:vAlign w:val="center"/>
          </w:tcPr>
          <w:p>
            <w:pPr>
              <w:spacing w:after="0" w:before="0"/>
              <w:jc w:val="center"/>
            </w:pPr>
            <w:r/>
            <w:r>
              <w:rPr>
                <w:rFonts w:ascii="Times New Roman" w:hAnsi="Times New Roman"/>
                <w:b w:val="0"/>
                <w:sz w:val="18"/>
              </w:rPr>
              <w:t>178 500,00</w:t>
            </w:r>
          </w:p>
        </w:tc>
        <w:tc>
          <w:tcPr>
            <w:tcW w:type="dxa" w:w="1728"/>
            <w:vAlign w:val="center"/>
          </w:tcPr>
          <w:p>
            <w:pPr>
              <w:spacing w:after="0" w:before="0"/>
              <w:jc w:val="center"/>
            </w:pPr>
            <w:r/>
            <w:r>
              <w:rPr>
                <w:rFonts w:ascii="Times New Roman" w:hAnsi="Times New Roman"/>
                <w:b w:val="0"/>
                <w:sz w:val="18"/>
              </w:rPr>
              <w:t>297 500,00</w:t>
            </w:r>
          </w:p>
        </w:tc>
      </w:tr>
      <w:tr>
        <w:trPr>
          <w:trHeight w:val="369"/>
        </w:trPr>
        <w:tc>
          <w:tcPr>
            <w:tcW w:type="dxa" w:w="1728"/>
            <w:vAlign w:val="center"/>
          </w:tcPr>
          <w:p>
            <w:pPr>
              <w:spacing w:after="0" w:before="0"/>
              <w:jc w:val="left"/>
            </w:pPr>
            <w:r/>
            <w:r>
              <w:rPr>
                <w:rFonts w:ascii="Times New Roman" w:hAnsi="Times New Roman"/>
                <w:b w:val="0"/>
                <w:sz w:val="18"/>
              </w:rPr>
              <w:t>Лот №2 — учні 5–11 класів (основна категорія)</w:t>
            </w:r>
          </w:p>
        </w:tc>
        <w:tc>
          <w:tcPr>
            <w:tcW w:type="dxa" w:w="1728"/>
            <w:vAlign w:val="center"/>
          </w:tcPr>
          <w:p>
            <w:pPr>
              <w:spacing w:after="0" w:before="0"/>
              <w:jc w:val="center"/>
            </w:pPr>
            <w:r/>
            <w:r>
              <w:rPr>
                <w:rFonts w:ascii="Times New Roman" w:hAnsi="Times New Roman"/>
                <w:b w:val="0"/>
                <w:sz w:val="18"/>
              </w:rPr>
              <w:t>12 705</w:t>
            </w:r>
          </w:p>
        </w:tc>
        <w:tc>
          <w:tcPr>
            <w:tcW w:type="dxa" w:w="1728"/>
            <w:vAlign w:val="center"/>
          </w:tcPr>
          <w:p>
            <w:pPr>
              <w:spacing w:after="0" w:before="0"/>
              <w:jc w:val="center"/>
            </w:pPr>
            <w:r/>
            <w:r>
              <w:rPr>
                <w:rFonts w:ascii="Times New Roman" w:hAnsi="Times New Roman"/>
                <w:b w:val="0"/>
                <w:sz w:val="18"/>
              </w:rPr>
              <w:t>90,00</w:t>
            </w:r>
          </w:p>
        </w:tc>
        <w:tc>
          <w:tcPr>
            <w:tcW w:type="dxa" w:w="1728"/>
            <w:vAlign w:val="center"/>
          </w:tcPr>
          <w:p>
            <w:pPr>
              <w:spacing w:after="0" w:before="0"/>
              <w:jc w:val="center"/>
            </w:pPr>
            <w:r/>
            <w:r>
              <w:rPr>
                <w:rFonts w:ascii="Times New Roman" w:hAnsi="Times New Roman"/>
                <w:b w:val="0"/>
                <w:sz w:val="18"/>
              </w:rPr>
              <w:t>1 143 450,00</w:t>
            </w:r>
          </w:p>
        </w:tc>
        <w:tc>
          <w:tcPr>
            <w:tcW w:type="dxa" w:w="1728"/>
            <w:vAlign w:val="center"/>
          </w:tcPr>
          <w:p>
            <w:pPr>
              <w:spacing w:after="0" w:before="0"/>
              <w:jc w:val="center"/>
            </w:pPr>
            <w:r/>
            <w:r>
              <w:rPr>
                <w:rFonts w:ascii="Times New Roman" w:hAnsi="Times New Roman"/>
                <w:b w:val="0"/>
                <w:sz w:val="18"/>
              </w:rPr>
              <w:t>381 150,00</w:t>
            </w:r>
          </w:p>
        </w:tc>
        <w:tc>
          <w:tcPr>
            <w:tcW w:type="dxa" w:w="1728"/>
            <w:vAlign w:val="center"/>
          </w:tcPr>
          <w:p>
            <w:pPr>
              <w:spacing w:after="0" w:before="0"/>
              <w:jc w:val="center"/>
            </w:pPr>
            <w:r/>
            <w:r>
              <w:rPr>
                <w:rFonts w:ascii="Times New Roman" w:hAnsi="Times New Roman"/>
                <w:b w:val="0"/>
                <w:sz w:val="18"/>
              </w:rPr>
              <w:t>762 300,00</w:t>
            </w:r>
          </w:p>
        </w:tc>
      </w:tr>
      <w:tr>
        <w:trPr>
          <w:trHeight w:val="369"/>
        </w:trPr>
        <w:tc>
          <w:tcPr>
            <w:tcW w:type="dxa" w:w="1728"/>
            <w:vAlign w:val="center"/>
          </w:tcPr>
          <w:p>
            <w:pPr>
              <w:spacing w:after="0" w:before="0"/>
              <w:jc w:val="left"/>
            </w:pPr>
            <w:r/>
            <w:r>
              <w:rPr>
                <w:rFonts w:ascii="Times New Roman" w:hAnsi="Times New Roman"/>
                <w:b w:val="0"/>
                <w:sz w:val="18"/>
              </w:rPr>
              <w:t>Лот №2 — дитина-сирота/дитина, позбавлена батьківського піклування</w:t>
            </w:r>
          </w:p>
        </w:tc>
        <w:tc>
          <w:tcPr>
            <w:tcW w:type="dxa" w:w="1728"/>
            <w:vAlign w:val="center"/>
          </w:tcPr>
          <w:p>
            <w:pPr>
              <w:spacing w:after="0" w:before="0"/>
              <w:jc w:val="center"/>
            </w:pPr>
            <w:r/>
            <w:r>
              <w:rPr>
                <w:rFonts w:ascii="Times New Roman" w:hAnsi="Times New Roman"/>
                <w:b w:val="0"/>
                <w:sz w:val="18"/>
              </w:rPr>
              <w:t>35</w:t>
            </w:r>
          </w:p>
        </w:tc>
        <w:tc>
          <w:tcPr>
            <w:tcW w:type="dxa" w:w="1728"/>
            <w:vAlign w:val="center"/>
          </w:tcPr>
          <w:p>
            <w:pPr>
              <w:spacing w:after="0" w:before="0"/>
              <w:jc w:val="center"/>
            </w:pPr>
            <w:r/>
            <w:r>
              <w:rPr>
                <w:rFonts w:ascii="Times New Roman" w:hAnsi="Times New Roman"/>
                <w:b w:val="0"/>
                <w:sz w:val="18"/>
              </w:rPr>
              <w:t>100,00</w:t>
            </w:r>
          </w:p>
        </w:tc>
        <w:tc>
          <w:tcPr>
            <w:tcW w:type="dxa" w:w="1728"/>
            <w:vAlign w:val="center"/>
          </w:tcPr>
          <w:p>
            <w:pPr>
              <w:spacing w:after="0" w:before="0"/>
              <w:jc w:val="center"/>
            </w:pPr>
            <w:r/>
            <w:r>
              <w:rPr>
                <w:rFonts w:ascii="Times New Roman" w:hAnsi="Times New Roman"/>
                <w:b w:val="0"/>
                <w:sz w:val="18"/>
              </w:rPr>
              <w:t>3 500,00</w:t>
            </w:r>
          </w:p>
        </w:tc>
        <w:tc>
          <w:tcPr>
            <w:tcW w:type="dxa" w:w="1728"/>
            <w:vAlign w:val="center"/>
          </w:tcPr>
          <w:p>
            <w:pPr>
              <w:spacing w:after="0" w:before="0"/>
              <w:jc w:val="center"/>
            </w:pPr>
            <w:r/>
            <w:r>
              <w:rPr>
                <w:rFonts w:ascii="Times New Roman" w:hAnsi="Times New Roman"/>
                <w:b w:val="0"/>
                <w:sz w:val="18"/>
              </w:rPr>
              <w:t>3 500,00</w:t>
            </w:r>
          </w:p>
        </w:tc>
        <w:tc>
          <w:tcPr>
            <w:tcW w:type="dxa" w:w="1728"/>
            <w:vAlign w:val="center"/>
          </w:tcPr>
          <w:p>
            <w:pPr>
              <w:spacing w:after="0" w:before="0"/>
              <w:jc w:val="center"/>
            </w:pPr>
            <w:r/>
            <w:r>
              <w:rPr>
                <w:rFonts w:ascii="Times New Roman" w:hAnsi="Times New Roman"/>
                <w:b w:val="0"/>
                <w:sz w:val="18"/>
              </w:rPr>
              <w:t>0,00</w:t>
            </w:r>
          </w:p>
        </w:tc>
      </w:tr>
      <w:tr>
        <w:trPr>
          <w:trHeight w:val="369"/>
        </w:trPr>
        <w:tc>
          <w:tcPr>
            <w:tcW w:type="dxa" w:w="1728"/>
            <w:vAlign w:val="center"/>
            <w:shd w:fill="E2F0D9"/>
          </w:tcPr>
          <w:p>
            <w:pPr>
              <w:spacing w:after="0" w:before="0"/>
              <w:jc w:val="left"/>
            </w:pPr>
            <w:r/>
            <w:r>
              <w:rPr>
                <w:rFonts w:ascii="Times New Roman" w:hAnsi="Times New Roman"/>
                <w:b/>
                <w:sz w:val="18"/>
              </w:rPr>
              <w:t>РАЗОМ</w:t>
            </w:r>
          </w:p>
        </w:tc>
        <w:tc>
          <w:tcPr>
            <w:tcW w:type="dxa" w:w="1728"/>
            <w:vAlign w:val="center"/>
            <w:shd w:fill="E2F0D9"/>
          </w:tcPr>
          <w:p>
            <w:pPr>
              <w:spacing w:after="0" w:before="0"/>
              <w:jc w:val="center"/>
            </w:pPr>
            <w:r/>
            <w:r>
              <w:rPr>
                <w:rFonts w:ascii="Times New Roman" w:hAnsi="Times New Roman"/>
                <w:b/>
                <w:sz w:val="18"/>
              </w:rPr>
              <w:t>18 690</w:t>
            </w:r>
          </w:p>
        </w:tc>
        <w:tc>
          <w:tcPr>
            <w:tcW w:type="dxa" w:w="1728"/>
            <w:vAlign w:val="center"/>
            <w:shd w:fill="E2F0D9"/>
          </w:tcPr>
          <w:p>
            <w:pPr>
              <w:spacing w:after="0" w:before="0"/>
              <w:jc w:val="center"/>
            </w:pPr>
            <w:r/>
            <w:r>
              <w:rPr>
                <w:rFonts w:ascii="Times New Roman" w:hAnsi="Times New Roman"/>
                <w:b/>
                <w:sz w:val="18"/>
              </w:rPr>
              <w:t>—</w:t>
            </w:r>
          </w:p>
        </w:tc>
        <w:tc>
          <w:tcPr>
            <w:tcW w:type="dxa" w:w="1728"/>
            <w:vAlign w:val="center"/>
            <w:shd w:fill="E2F0D9"/>
          </w:tcPr>
          <w:p>
            <w:pPr>
              <w:spacing w:after="0" w:before="0"/>
              <w:jc w:val="center"/>
            </w:pPr>
            <w:r/>
            <w:r>
              <w:rPr>
                <w:rFonts w:ascii="Times New Roman" w:hAnsi="Times New Roman"/>
                <w:b/>
                <w:sz w:val="18"/>
              </w:rPr>
              <w:t>1 622 950,00</w:t>
            </w:r>
          </w:p>
        </w:tc>
        <w:tc>
          <w:tcPr>
            <w:tcW w:type="dxa" w:w="1728"/>
            <w:vAlign w:val="center"/>
            <w:shd w:fill="E2F0D9"/>
          </w:tcPr>
          <w:p>
            <w:pPr>
              <w:spacing w:after="0" w:before="0"/>
              <w:jc w:val="center"/>
            </w:pPr>
            <w:r/>
            <w:r>
              <w:rPr>
                <w:rFonts w:ascii="Times New Roman" w:hAnsi="Times New Roman"/>
                <w:b/>
                <w:sz w:val="18"/>
              </w:rPr>
              <w:t>563 150,00</w:t>
            </w:r>
          </w:p>
        </w:tc>
        <w:tc>
          <w:tcPr>
            <w:tcW w:type="dxa" w:w="1728"/>
            <w:vAlign w:val="center"/>
            <w:shd w:fill="E2F0D9"/>
          </w:tcPr>
          <w:p>
            <w:pPr>
              <w:spacing w:after="0" w:before="0"/>
              <w:jc w:val="center"/>
            </w:pPr>
            <w:r/>
            <w:r>
              <w:rPr>
                <w:rFonts w:ascii="Times New Roman" w:hAnsi="Times New Roman"/>
                <w:b/>
                <w:sz w:val="18"/>
              </w:rPr>
              <w:t>1 059 800,00</w:t>
            </w:r>
          </w:p>
        </w:tc>
      </w:tr>
    </w:tbl>
    <w:p>
      <w:pPr>
        <w:spacing w:before="80" w:after="60" w:line="252" w:lineRule="auto"/>
        <w:ind w:firstLine="454"/>
      </w:pPr>
      <w:r>
        <w:rPr>
          <w:rFonts w:ascii="Times New Roman" w:hAnsi="Times New Roman"/>
          <w:b/>
          <w:i w:val="0"/>
          <w:sz w:val="22"/>
        </w:rPr>
        <w:t>Загальний розмір бюджетного призначення становить 1 622 950,00 грн без ПДВ, у тому числі: кошти місцевого бюджету — 563 150,00 грн; кошти субвенції — 1 059 800,00 грн.</w:t>
      </w:r>
    </w:p>
    <w:p>
      <w:pPr>
        <w:spacing w:before="0" w:after="60" w:line="252" w:lineRule="auto"/>
        <w:ind w:firstLine="454"/>
      </w:pPr>
      <w:r>
        <w:rPr>
          <w:rFonts w:ascii="Times New Roman" w:hAnsi="Times New Roman"/>
          <w:b w:val="0"/>
          <w:i w:val="0"/>
          <w:sz w:val="22"/>
        </w:rPr>
        <w:t>Для Лота №1 продуктова складова, що фінансується за рахунок субвенції, розрахована до 50,00 грн на порцію, а інша складова — 30,00 грн за рахунок місцевого бюджету. Для основної категорії Лота №2 продуктова складова — до 60,00 грн на порцію за рахунок субвенції, інша складова — 30,00 грн за рахунок місцевого бюджету. Харчування однієї дитини пільгової категорії за ціною 100,00 грн/порція у запланованому обсязі 35 порцій фінансується за рахунок місцевого бюджету.</w:t>
      </w:r>
    </w:p>
    <w:p>
      <w:pPr>
        <w:spacing w:before="80" w:after="40" w:line="252" w:lineRule="auto"/>
        <w:ind w:firstLine="0"/>
      </w:pPr>
      <w:r>
        <w:rPr>
          <w:rFonts w:ascii="Times New Roman" w:hAnsi="Times New Roman"/>
          <w:b/>
          <w:i w:val="0"/>
          <w:sz w:val="22"/>
        </w:rPr>
        <w:t>4. Нормативна та методична основа</w:t>
      </w:r>
    </w:p>
    <w:p>
      <w:pPr>
        <w:spacing w:before="0" w:after="60" w:line="252" w:lineRule="auto"/>
        <w:ind w:firstLine="454"/>
      </w:pPr>
      <w:r>
        <w:rPr>
          <w:rFonts w:ascii="Times New Roman" w:hAnsi="Times New Roman"/>
          <w:b w:val="0"/>
          <w:i w:val="0"/>
          <w:sz w:val="22"/>
        </w:rPr>
        <w:t>Обґрунтування підготовлено з урахуванням Закону України «Про публічні закупівлі», Особливостей, затверджених постановою КМУ від 12.10.2022 №1178 (у чинній редакції), постанови КМУ від 11.10.2016 №710 «Про ефективне використання державних коштів», Примірної методики визначення очікуваної вартості предмета закупівлі, затвердженої наказом Мінекономіки від 18.02.2020 №275, постанов КМУ №305 та №1456 (зі змінами), а також рішення Ворохтянської селищної ради від 20.08.2026 №616-73/2026.</w:t>
      </w:r>
    </w:p>
    <w:p>
      <w:pPr>
        <w:spacing w:before="0" w:after="40" w:line="252" w:lineRule="auto"/>
        <w:ind w:firstLine="0"/>
      </w:pPr>
      <w:r>
        <w:rPr>
          <w:rFonts w:ascii="Times New Roman" w:hAnsi="Times New Roman"/>
          <w:b w:val="0"/>
          <w:i w:val="0"/>
          <w:sz w:val="22"/>
        </w:rPr>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457"/>
        <w:gridCol w:w="3457"/>
        <w:gridCol w:w="3457"/>
      </w:tblGrid>
      <w:tr>
        <w:tc>
          <w:tcPr>
            <w:tcW w:type="dxa" w:w="3118"/>
            <w:vAlign w:val="center"/>
          </w:tcPr>
          <w:p>
            <w:pPr>
              <w:spacing w:after="0" w:before="0"/>
              <w:jc w:val="center"/>
            </w:pPr>
            <w:r/>
            <w:r>
              <w:rPr>
                <w:rFonts w:ascii="Times New Roman" w:hAnsi="Times New Roman"/>
                <w:b w:val="0"/>
                <w:sz w:val="21"/>
              </w:rPr>
              <w:t>Уповноважена особа</w:t>
            </w:r>
          </w:p>
        </w:tc>
        <w:tc>
          <w:tcPr>
            <w:tcW w:type="dxa" w:w="2551"/>
            <w:vAlign w:val="center"/>
          </w:tcPr>
          <w:p>
            <w:pPr>
              <w:spacing w:after="0" w:before="0"/>
              <w:jc w:val="center"/>
            </w:pPr>
            <w:r/>
            <w:r>
              <w:rPr>
                <w:rFonts w:ascii="Times New Roman" w:hAnsi="Times New Roman"/>
                <w:b w:val="0"/>
                <w:sz w:val="21"/>
              </w:rPr>
              <w:t>__________________</w:t>
            </w:r>
          </w:p>
        </w:tc>
        <w:tc>
          <w:tcPr>
            <w:tcW w:type="dxa" w:w="3118"/>
            <w:vAlign w:val="center"/>
          </w:tcPr>
          <w:p>
            <w:pPr>
              <w:spacing w:after="0" w:before="0"/>
              <w:jc w:val="center"/>
            </w:pPr>
            <w:r/>
            <w:r>
              <w:rPr>
                <w:rFonts w:ascii="Times New Roman" w:hAnsi="Times New Roman"/>
                <w:b w:val="0"/>
                <w:sz w:val="21"/>
              </w:rPr>
              <w:t>Яна ПРОНЕНКО</w:t>
            </w:r>
          </w:p>
        </w:tc>
      </w:tr>
    </w:tbl>
    <w:sectPr w:rsidR="00FC693F" w:rsidRPr="0006063C" w:rsidSect="00034616">
      <w:pgSz w:w="12240" w:h="15840"/>
      <w:pgMar w:top="794" w:right="850" w:bottom="79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2" w:lineRule="auto" w:after="60"/>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