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DE" w:rsidRPr="009E6BC3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noProof/>
          <w:color w:val="1A1A1A"/>
          <w:sz w:val="28"/>
          <w:szCs w:val="28"/>
          <w:lang w:bidi="ar-SA"/>
        </w:rPr>
        <w:drawing>
          <wp:inline distT="0" distB="0" distL="0" distR="0" wp14:anchorId="095645F5" wp14:editId="4DC682D2">
            <wp:extent cx="46482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626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DE" w:rsidRPr="009E6BC3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bCs/>
          <w:color w:val="1A1A1A"/>
          <w:sz w:val="28"/>
          <w:szCs w:val="28"/>
        </w:rPr>
        <w:t>УКРАЇНА</w:t>
      </w:r>
    </w:p>
    <w:p w:rsidR="002655DE" w:rsidRPr="009E6BC3" w:rsidRDefault="002655DE" w:rsidP="002655DE">
      <w:pPr>
        <w:tabs>
          <w:tab w:val="left" w:leader="underscore" w:pos="8240"/>
          <w:tab w:val="left" w:pos="9214"/>
        </w:tabs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color w:val="1A1A1A"/>
          <w:sz w:val="28"/>
          <w:szCs w:val="28"/>
        </w:rPr>
        <w:t>ВОРОХТЯНСЬКА СЕЛИЩНА РАДА</w:t>
      </w:r>
    </w:p>
    <w:p w:rsidR="002655DE" w:rsidRPr="009E6BC3" w:rsidRDefault="002655DE" w:rsidP="002655DE">
      <w:pPr>
        <w:pBdr>
          <w:bottom w:val="single" w:sz="12" w:space="4" w:color="auto"/>
        </w:pBd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color w:val="1A1A1A"/>
          <w:sz w:val="28"/>
          <w:szCs w:val="28"/>
        </w:rPr>
        <w:t>НАДВІРНЯНСЬКОГО РАЙОНУ ІВАНО-ФРАНКІВСЬКОЇ ОБЛАСТІ</w:t>
      </w:r>
    </w:p>
    <w:p w:rsidR="002655DE" w:rsidRPr="009E6BC3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color w:val="1A1A1A"/>
          <w:sz w:val="28"/>
          <w:szCs w:val="28"/>
        </w:rPr>
        <w:t>Восьме демократичне скликання</w:t>
      </w:r>
    </w:p>
    <w:p w:rsidR="002655DE" w:rsidRPr="003F6EDC" w:rsidRDefault="00CB5633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Шістдесят </w:t>
      </w:r>
      <w:r w:rsidR="00915FB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п’ята</w:t>
      </w:r>
      <w:r w:rsidR="002655DE"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сесія</w:t>
      </w:r>
    </w:p>
    <w:p w:rsidR="002655DE" w:rsidRPr="003F6EDC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655DE" w:rsidRPr="003F6EDC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РІШЕННЯ</w:t>
      </w:r>
      <w:r w:rsidR="00915FB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655DE" w:rsidRPr="003F6EDC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655DE" w:rsidRPr="003F6EDC" w:rsidRDefault="002655DE" w:rsidP="00967328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від </w:t>
      </w:r>
      <w:r w:rsidR="007D26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</w:t>
      </w:r>
      <w:r w:rsidR="0096732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</w:t>
      </w:r>
      <w:r w:rsidR="00A9413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.02.2026</w:t>
      </w: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року                 </w:t>
      </w:r>
      <w:r w:rsidR="00CB56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</w:t>
      </w: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селище Ворохта                        </w:t>
      </w:r>
      <w:r w:rsidR="00CB56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№ </w:t>
      </w:r>
      <w:r w:rsidR="0096732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557</w:t>
      </w:r>
      <w:r w:rsidR="00CB56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-6</w:t>
      </w:r>
      <w:r w:rsidR="00915FB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</w:t>
      </w:r>
      <w:r w:rsidR="00A9413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/2026</w:t>
      </w:r>
    </w:p>
    <w:p w:rsidR="002655DE" w:rsidRPr="009E6BC3" w:rsidRDefault="002655DE" w:rsidP="002655DE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B47B88" w:rsidRPr="003F6EDC" w:rsidRDefault="00B47B88" w:rsidP="003F6EDC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613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внесення змін до</w:t>
      </w:r>
      <w:r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55DE"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Програми </w:t>
      </w:r>
    </w:p>
    <w:p w:rsidR="006130BC" w:rsidRDefault="00B47B88" w:rsidP="003F6EDC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13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Ворохтянської територіальної</w:t>
      </w:r>
    </w:p>
    <w:p w:rsidR="004C2D79" w:rsidRDefault="006130BC" w:rsidP="003F6EDC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громади </w:t>
      </w:r>
      <w:r w:rsidR="004C2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2026 рік щодо підтримки </w:t>
      </w:r>
    </w:p>
    <w:p w:rsidR="002655DE" w:rsidRPr="003F6EDC" w:rsidRDefault="004C2D79" w:rsidP="003F6EDC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військових частин Сил оборони України</w:t>
      </w:r>
      <w:r w:rsidR="00B47B88"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655DE" w:rsidRPr="009E6BC3" w:rsidRDefault="002655DE" w:rsidP="002655DE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55DE" w:rsidRPr="009E6BC3" w:rsidRDefault="006130BC" w:rsidP="005A0D0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BC">
        <w:rPr>
          <w:rFonts w:ascii="Times New Roman" w:eastAsia="Courier New" w:hAnsi="Times New Roman"/>
          <w:sz w:val="28"/>
          <w:szCs w:val="28"/>
        </w:rPr>
        <w:t>Відповідно до пункту 22 статті 26 Закону України «Про місцеве самоврядування в Україні", статті 91 Бюджетного кодексу України, пункту 22</w:t>
      </w:r>
      <w:r w:rsidRPr="006130BC">
        <w:rPr>
          <w:rFonts w:ascii="Times New Roman" w:eastAsia="Courier New" w:hAnsi="Times New Roman"/>
          <w:sz w:val="28"/>
          <w:szCs w:val="28"/>
          <w:vertAlign w:val="superscript"/>
        </w:rPr>
        <w:t>2</w:t>
      </w:r>
      <w:r w:rsidRPr="006130BC">
        <w:rPr>
          <w:rFonts w:ascii="Times New Roman" w:eastAsia="Courier New" w:hAnsi="Times New Roman"/>
          <w:sz w:val="28"/>
          <w:szCs w:val="28"/>
        </w:rPr>
        <w:t> Прикінцевих та перехідних положень Бюджетного кодексу України, Указу Президента України від 24.02.2022 року №64/2022 «Про введення воєнного стану в Україні» (затвердженого Законом України від 24.02.2022 №2102/ІХ), Указ Президента України від 14.01.2025 року №26/2025 «Про подовження строку дії воєнного стану в Україні» (затвердженого Законом України від 15.01.2025 №4220-ІХ), селищна рада</w:t>
      </w:r>
      <w:r w:rsidR="00CB56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55DE" w:rsidRPr="009E6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74F9" w:rsidRDefault="009974F9" w:rsidP="002655DE">
      <w:pPr>
        <w:shd w:val="clear" w:color="auto" w:fill="FFFFFF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655DE" w:rsidRDefault="002655DE" w:rsidP="002655DE">
      <w:pPr>
        <w:shd w:val="clear" w:color="auto" w:fill="FFFFFF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6B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2655DE" w:rsidRPr="009E6BC3" w:rsidRDefault="002655DE" w:rsidP="002655DE">
      <w:pPr>
        <w:shd w:val="clear" w:color="auto" w:fill="FFFFFF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655DE" w:rsidRPr="00F91794" w:rsidRDefault="002655DE" w:rsidP="005A0D05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6BC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D79">
        <w:rPr>
          <w:rFonts w:ascii="Times New Roman" w:eastAsia="Times New Roman" w:hAnsi="Times New Roman"/>
          <w:sz w:val="28"/>
          <w:szCs w:val="28"/>
        </w:rPr>
        <w:t>Внести зміни до Програми</w:t>
      </w:r>
      <w:r w:rsidRPr="00F91794">
        <w:rPr>
          <w:rFonts w:ascii="Times New Roman" w:eastAsia="Times New Roman" w:hAnsi="Times New Roman"/>
          <w:sz w:val="28"/>
          <w:szCs w:val="28"/>
        </w:rPr>
        <w:t xml:space="preserve"> </w:t>
      </w:r>
      <w:r w:rsidR="005A0D05" w:rsidRPr="00B47B88">
        <w:rPr>
          <w:rFonts w:ascii="Times New Roman" w:hAnsi="Times New Roman" w:cs="Times New Roman"/>
          <w:sz w:val="28"/>
          <w:szCs w:val="28"/>
        </w:rPr>
        <w:t>«</w:t>
      </w:r>
      <w:r w:rsidR="004C2D79">
        <w:rPr>
          <w:rFonts w:ascii="Times New Roman" w:hAnsi="Times New Roman" w:cs="Times New Roman"/>
          <w:sz w:val="28"/>
          <w:szCs w:val="28"/>
        </w:rPr>
        <w:t>Ворохтянської територіальної громади на 2026 рік щодо підтримки військових частин Сил оборони України</w:t>
      </w:r>
      <w:r w:rsidR="005A0D05">
        <w:rPr>
          <w:rFonts w:ascii="Times New Roman" w:hAnsi="Times New Roman" w:cs="Times New Roman"/>
          <w:sz w:val="28"/>
          <w:szCs w:val="28"/>
        </w:rPr>
        <w:t>»</w:t>
      </w:r>
      <w:r w:rsidR="004C2D79">
        <w:rPr>
          <w:rFonts w:ascii="Times New Roman" w:hAnsi="Times New Roman" w:cs="Times New Roman"/>
          <w:sz w:val="28"/>
          <w:szCs w:val="28"/>
        </w:rPr>
        <w:t>, затвердити та викласти у новій редакції</w:t>
      </w:r>
      <w:r w:rsidR="005A0D05">
        <w:rPr>
          <w:rFonts w:ascii="Times New Roman" w:eastAsia="Times New Roman" w:hAnsi="Times New Roman"/>
          <w:sz w:val="28"/>
          <w:szCs w:val="28"/>
        </w:rPr>
        <w:t xml:space="preserve"> </w:t>
      </w:r>
      <w:r w:rsidR="004C2D79">
        <w:rPr>
          <w:rFonts w:ascii="Times New Roman" w:eastAsia="Times New Roman" w:hAnsi="Times New Roman"/>
          <w:sz w:val="28"/>
          <w:szCs w:val="28"/>
        </w:rPr>
        <w:t>(додаток 1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F91794">
        <w:rPr>
          <w:rFonts w:ascii="Times New Roman" w:eastAsia="Times New Roman" w:hAnsi="Times New Roman"/>
          <w:sz w:val="28"/>
          <w:szCs w:val="28"/>
        </w:rPr>
        <w:t>.</w:t>
      </w:r>
    </w:p>
    <w:p w:rsidR="00F8461A" w:rsidRDefault="002655DE" w:rsidP="00F846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5F5C6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Фінансовому відділу селищної ради </w:t>
      </w:r>
      <w:r w:rsidR="004C2D7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4C2D79" w:rsidRPr="004C2D79">
        <w:rPr>
          <w:rFonts w:ascii="Times New Roman" w:eastAsia="Times New Roman" w:hAnsi="Times New Roman"/>
          <w:sz w:val="28"/>
          <w:szCs w:val="28"/>
          <w:lang w:eastAsia="ru-RU"/>
        </w:rPr>
        <w:t>абезпечити фінансування Програми за рахунок коштів бюджету</w:t>
      </w:r>
      <w:r w:rsidR="004C2D79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Ворохтянської</w:t>
      </w:r>
      <w:r w:rsidR="004C2D79" w:rsidRPr="004C2D7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територіальної громади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(І.</w:t>
      </w:r>
      <w:r w:rsidR="00D45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Бойко)</w:t>
      </w:r>
      <w:r w:rsidRPr="005F5C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55DE" w:rsidRDefault="004C2D79" w:rsidP="00F846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655DE" w:rsidRPr="009E6BC3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виконанням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постійну комісію з питань</w:t>
      </w:r>
      <w:r w:rsidR="00E519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234"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економіки, фінансів та бюджету</w:t>
      </w:r>
      <w:r w:rsidR="00D4523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E519F0">
        <w:rPr>
          <w:rFonts w:ascii="Times New Roman" w:eastAsia="Times New Roman" w:hAnsi="Times New Roman"/>
          <w:sz w:val="28"/>
          <w:szCs w:val="28"/>
          <w:lang w:eastAsia="ru-RU"/>
        </w:rPr>
        <w:t>Ворохтянської селищної ради</w:t>
      </w:r>
      <w:r w:rsidR="002655DE" w:rsidRPr="009E6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5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55DE" w:rsidRDefault="002655DE" w:rsidP="002655DE">
      <w:pPr>
        <w:ind w:hanging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328" w:rsidRPr="009E6BC3" w:rsidRDefault="00967328" w:rsidP="002655DE">
      <w:pPr>
        <w:ind w:hanging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55DE" w:rsidRDefault="002655DE" w:rsidP="005A0D05">
      <w:pPr>
        <w:ind w:hanging="720"/>
        <w:jc w:val="center"/>
        <w:rPr>
          <w:rFonts w:ascii="Times New Roman" w:hAnsi="Times New Roman"/>
          <w:sz w:val="28"/>
        </w:rPr>
      </w:pP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6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1D11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Селищний голова                                                        </w:t>
      </w:r>
      <w:r w:rsidR="001D11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1D11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Олег ДЗЕМ’ЮК</w:t>
      </w:r>
      <w:r>
        <w:rPr>
          <w:rFonts w:ascii="Times New Roman" w:hAnsi="Times New Roman"/>
          <w:sz w:val="28"/>
        </w:rPr>
        <w:br w:type="page"/>
      </w:r>
    </w:p>
    <w:p w:rsidR="002655DE" w:rsidRPr="00266745" w:rsidRDefault="002655DE" w:rsidP="002655DE">
      <w:pPr>
        <w:pStyle w:val="a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ЗАТВЕРДЖЕНО</w:t>
      </w:r>
    </w:p>
    <w:p w:rsidR="002655DE" w:rsidRPr="00266745" w:rsidRDefault="002655DE" w:rsidP="002655DE">
      <w:pPr>
        <w:pStyle w:val="a6"/>
        <w:jc w:val="right"/>
        <w:rPr>
          <w:rFonts w:ascii="Times New Roman" w:hAnsi="Times New Roman"/>
          <w:sz w:val="28"/>
        </w:rPr>
      </w:pPr>
      <w:r w:rsidRPr="00266745">
        <w:rPr>
          <w:rFonts w:ascii="Times New Roman" w:hAnsi="Times New Roman"/>
          <w:sz w:val="28"/>
        </w:rPr>
        <w:t>рішення</w:t>
      </w:r>
      <w:r>
        <w:rPr>
          <w:rFonts w:ascii="Times New Roman" w:hAnsi="Times New Roman"/>
          <w:sz w:val="28"/>
        </w:rPr>
        <w:t>м</w:t>
      </w:r>
      <w:r w:rsidRPr="00266745">
        <w:rPr>
          <w:rFonts w:ascii="Times New Roman" w:hAnsi="Times New Roman"/>
          <w:sz w:val="28"/>
        </w:rPr>
        <w:t xml:space="preserve"> сесії</w:t>
      </w:r>
    </w:p>
    <w:p w:rsidR="002655DE" w:rsidRPr="00266745" w:rsidRDefault="002655DE" w:rsidP="002655DE">
      <w:pPr>
        <w:pStyle w:val="a6"/>
        <w:jc w:val="right"/>
        <w:rPr>
          <w:rFonts w:ascii="Times New Roman" w:hAnsi="Times New Roman"/>
          <w:sz w:val="28"/>
        </w:rPr>
      </w:pPr>
      <w:r w:rsidRPr="00266745">
        <w:rPr>
          <w:rFonts w:ascii="Times New Roman" w:hAnsi="Times New Roman"/>
          <w:sz w:val="28"/>
        </w:rPr>
        <w:t xml:space="preserve">Ворохтянської селищної ради </w:t>
      </w:r>
    </w:p>
    <w:p w:rsidR="002655DE" w:rsidRPr="006A5281" w:rsidRDefault="002655DE" w:rsidP="002655DE">
      <w:pPr>
        <w:pStyle w:val="a6"/>
        <w:jc w:val="right"/>
        <w:rPr>
          <w:rFonts w:ascii="Times New Roman" w:hAnsi="Times New Roman"/>
          <w:bCs/>
          <w:color w:val="FF0000"/>
          <w:sz w:val="28"/>
          <w:u w:val="single"/>
        </w:rPr>
      </w:pPr>
      <w:r w:rsidRPr="00266745">
        <w:rPr>
          <w:rFonts w:ascii="Times New Roman" w:hAnsi="Times New Roman"/>
          <w:bCs/>
          <w:sz w:val="28"/>
        </w:rPr>
        <w:t xml:space="preserve">від </w:t>
      </w:r>
      <w:r w:rsidR="007D260D">
        <w:rPr>
          <w:rFonts w:ascii="Times New Roman" w:hAnsi="Times New Roman"/>
          <w:bCs/>
          <w:color w:val="000000" w:themeColor="text1"/>
          <w:sz w:val="28"/>
        </w:rPr>
        <w:t>1</w:t>
      </w:r>
      <w:r w:rsidR="009974F9">
        <w:rPr>
          <w:rFonts w:ascii="Times New Roman" w:hAnsi="Times New Roman"/>
          <w:bCs/>
          <w:color w:val="000000" w:themeColor="text1"/>
          <w:sz w:val="28"/>
        </w:rPr>
        <w:t>3</w:t>
      </w:r>
      <w:r w:rsidRPr="00D854F0">
        <w:rPr>
          <w:rFonts w:ascii="Times New Roman" w:hAnsi="Times New Roman"/>
          <w:bCs/>
          <w:color w:val="000000" w:themeColor="text1"/>
          <w:sz w:val="28"/>
        </w:rPr>
        <w:t>.</w:t>
      </w:r>
      <w:r w:rsidR="00A94135">
        <w:rPr>
          <w:rFonts w:ascii="Times New Roman" w:hAnsi="Times New Roman"/>
          <w:bCs/>
          <w:color w:val="000000" w:themeColor="text1"/>
          <w:sz w:val="28"/>
        </w:rPr>
        <w:t xml:space="preserve">02.2026 року № </w:t>
      </w:r>
      <w:r w:rsidR="00967328">
        <w:rPr>
          <w:rFonts w:ascii="Times New Roman" w:hAnsi="Times New Roman"/>
          <w:bCs/>
          <w:color w:val="000000" w:themeColor="text1"/>
          <w:sz w:val="28"/>
        </w:rPr>
        <w:t>557</w:t>
      </w:r>
      <w:r w:rsidR="00A94135">
        <w:rPr>
          <w:rFonts w:ascii="Times New Roman" w:hAnsi="Times New Roman"/>
          <w:bCs/>
          <w:color w:val="000000" w:themeColor="text1"/>
          <w:sz w:val="28"/>
        </w:rPr>
        <w:t>-6</w:t>
      </w:r>
      <w:r w:rsidR="007D260D">
        <w:rPr>
          <w:rFonts w:ascii="Times New Roman" w:hAnsi="Times New Roman"/>
          <w:bCs/>
          <w:color w:val="000000" w:themeColor="text1"/>
          <w:sz w:val="28"/>
        </w:rPr>
        <w:t>5</w:t>
      </w:r>
      <w:r w:rsidRPr="00D854F0">
        <w:rPr>
          <w:rFonts w:ascii="Times New Roman" w:hAnsi="Times New Roman"/>
          <w:bCs/>
          <w:color w:val="000000" w:themeColor="text1"/>
          <w:sz w:val="28"/>
        </w:rPr>
        <w:t>/202</w:t>
      </w:r>
      <w:r w:rsidR="00967328">
        <w:rPr>
          <w:rFonts w:ascii="Times New Roman" w:hAnsi="Times New Roman"/>
          <w:bCs/>
          <w:color w:val="000000" w:themeColor="text1"/>
          <w:sz w:val="28"/>
        </w:rPr>
        <w:t>6</w:t>
      </w: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6130BC" w:rsidRDefault="006130BC" w:rsidP="006130BC">
      <w:pPr>
        <w:pStyle w:val="a6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5A0D05" w:rsidRPr="005A0D05" w:rsidRDefault="006130BC" w:rsidP="006130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5A0D05" w:rsidRPr="005A0D05" w:rsidRDefault="004A5E02" w:rsidP="005A0D05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Ворохтянської територіальної громади на 2026 рік щодо підтримки </w:t>
      </w:r>
      <w:r w:rsidR="006130BC">
        <w:rPr>
          <w:rFonts w:ascii="Times New Roman" w:hAnsi="Times New Roman" w:cs="Times New Roman"/>
          <w:b/>
          <w:sz w:val="28"/>
          <w:szCs w:val="28"/>
        </w:rPr>
        <w:t>військових частин Сил оборони України</w:t>
      </w:r>
    </w:p>
    <w:p w:rsidR="006130BC" w:rsidRPr="006130BC" w:rsidRDefault="006130BC" w:rsidP="006130BC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(нова редакція)</w:t>
      </w: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2655DE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2655DE" w:rsidRPr="00F33AC2" w:rsidRDefault="002655DE" w:rsidP="003F6EDC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2655DE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P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6130B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Селище Ворохта</w:t>
      </w:r>
    </w:p>
    <w:p w:rsidR="006130BC" w:rsidRP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6130B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2026</w:t>
      </w:r>
    </w:p>
    <w:p w:rsidR="002655DE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Pr="00F10276" w:rsidRDefault="004A5E02" w:rsidP="004A5E02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  <w:r w:rsidRPr="004A5E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ПАСПОРТ</w:t>
      </w:r>
      <w:r w:rsidRPr="00F10276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 xml:space="preserve"> </w:t>
      </w:r>
    </w:p>
    <w:p w:rsidR="00F10276" w:rsidRPr="00F10276" w:rsidRDefault="004A5E02" w:rsidP="004A5E02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Програма Ворохтянської територіальної громади на 2026 рік щодо підтримки військових частин  Сил оборони України</w:t>
      </w:r>
    </w:p>
    <w:p w:rsidR="00F10276" w:rsidRPr="00F10276" w:rsidRDefault="00F10276" w:rsidP="004A5E02">
      <w:pPr>
        <w:spacing w:line="280" w:lineRule="exact"/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</w:pPr>
    </w:p>
    <w:p w:rsidR="00F10276" w:rsidRPr="00F10276" w:rsidRDefault="00F10276" w:rsidP="00F10276">
      <w:pPr>
        <w:spacing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Overlap w:val="never"/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5671"/>
      </w:tblGrid>
      <w:tr w:rsidR="00F10276" w:rsidRPr="00F10276" w:rsidTr="00B9100E">
        <w:trPr>
          <w:trHeight w:hRule="exact" w:val="38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276" w:rsidRPr="00F10276" w:rsidRDefault="00F10276" w:rsidP="00F10276">
            <w:pPr>
              <w:spacing w:line="280" w:lineRule="exact"/>
              <w:jc w:val="center"/>
              <w:rPr>
                <w:b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276" w:rsidRPr="00F10276" w:rsidRDefault="00F10276" w:rsidP="00F10276">
            <w:pPr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Ворохтянська селищна рада </w:t>
            </w:r>
          </w:p>
        </w:tc>
      </w:tr>
      <w:tr w:rsidR="00F10276" w:rsidRPr="00F10276" w:rsidTr="004A5E02">
        <w:trPr>
          <w:trHeight w:hRule="exact" w:val="323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276" w:rsidRPr="00F10276" w:rsidRDefault="00F10276" w:rsidP="00F10276">
            <w:pPr>
              <w:spacing w:line="280" w:lineRule="exact"/>
              <w:jc w:val="center"/>
              <w:rPr>
                <w:b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>Підстава до розробки Програми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276" w:rsidRPr="00F10276" w:rsidRDefault="00F10276" w:rsidP="00F10276">
            <w:pPr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2"/>
                <w:lang w:eastAsia="en-US" w:bidi="ar-SA"/>
              </w:rPr>
            </w:pPr>
            <w:r w:rsidRPr="00F102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Закон України «Про місцеве самоврядування в Україні", Бюджетний кодекс України, Указ Президента України від 24.02.2022 року №64/2022 «Про введення воєнного стану в Україні» (затвердженого Законом України від 24.02.2022 №2102/ІХ), Указ Президента України від 14.01.2025 року №26/2025 «Про подовження строку дії воєнного стану в Україні» (затвердженого Законом України від 15.01.2025 №4220-ІХ)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10276" w:rsidRPr="00F10276" w:rsidTr="00B9100E">
        <w:trPr>
          <w:trHeight w:hRule="exact" w:val="7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276" w:rsidRPr="00F10276" w:rsidRDefault="00F10276" w:rsidP="00F10276">
            <w:pPr>
              <w:spacing w:line="280" w:lineRule="exact"/>
              <w:jc w:val="center"/>
              <w:rPr>
                <w:b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>Розробник Програми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276" w:rsidRPr="00F10276" w:rsidRDefault="00F10276" w:rsidP="004A5E02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10276">
              <w:rPr>
                <w:rFonts w:ascii="Times New Roman" w:hAnsi="Times New Roman" w:cs="Times New Roman"/>
                <w:sz w:val="28"/>
                <w:szCs w:val="28"/>
              </w:rPr>
              <w:t>Ворохтянська селищна рада</w:t>
            </w:r>
          </w:p>
        </w:tc>
      </w:tr>
      <w:tr w:rsidR="00F10276" w:rsidRPr="00F10276" w:rsidTr="00B9100E">
        <w:trPr>
          <w:trHeight w:hRule="exact" w:val="80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276" w:rsidRPr="00F10276" w:rsidRDefault="00F10276" w:rsidP="00F10276">
            <w:pPr>
              <w:spacing w:line="374" w:lineRule="exact"/>
              <w:jc w:val="center"/>
              <w:rPr>
                <w:b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276" w:rsidRPr="00F10276" w:rsidRDefault="00F10276" w:rsidP="004A5E02">
            <w:pPr>
              <w:spacing w:line="37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0276">
              <w:rPr>
                <w:rFonts w:ascii="Times New Roman" w:hAnsi="Times New Roman" w:cs="Times New Roman"/>
                <w:sz w:val="28"/>
                <w:szCs w:val="28"/>
              </w:rPr>
              <w:t>Фінансовий відділ Ворохтянської селищної ради</w:t>
            </w:r>
          </w:p>
        </w:tc>
      </w:tr>
      <w:tr w:rsidR="00F10276" w:rsidRPr="00F10276" w:rsidTr="00B9100E">
        <w:trPr>
          <w:trHeight w:hRule="exact" w:val="184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276" w:rsidRPr="00F10276" w:rsidRDefault="00F10276" w:rsidP="00F10276">
            <w:pPr>
              <w:spacing w:line="280" w:lineRule="exact"/>
              <w:jc w:val="center"/>
              <w:rPr>
                <w:b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>Учасники Програми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276" w:rsidRPr="00F10276" w:rsidRDefault="00F10276" w:rsidP="004A5E02">
            <w:pPr>
              <w:spacing w:line="370" w:lineRule="exact"/>
            </w:pPr>
            <w:r w:rsidRPr="00F10276">
              <w:rPr>
                <w:rFonts w:ascii="Times New Roman" w:hAnsi="Times New Roman" w:cs="Times New Roman"/>
                <w:sz w:val="28"/>
                <w:szCs w:val="28"/>
              </w:rPr>
              <w:t xml:space="preserve">Ворохтянська селищна рада, фінансовий відділ Ворохтянської селищної ради, </w:t>
            </w:r>
            <w:r w:rsidR="004A5E02" w:rsidRPr="004A5E02">
              <w:rPr>
                <w:rFonts w:ascii="Times New Roman" w:hAnsi="Times New Roman" w:cs="Times New Roman"/>
                <w:sz w:val="28"/>
                <w:szCs w:val="28"/>
              </w:rPr>
              <w:t>військові частини Збройних сил України</w:t>
            </w:r>
          </w:p>
        </w:tc>
      </w:tr>
      <w:tr w:rsidR="004A5E02" w:rsidRPr="00F10276" w:rsidTr="00B9100E">
        <w:trPr>
          <w:trHeight w:hRule="exact" w:val="184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E02" w:rsidRPr="00F10276" w:rsidRDefault="004A5E02" w:rsidP="00F1027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 програми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E02" w:rsidRPr="00F10276" w:rsidRDefault="004A5E02" w:rsidP="004A5E02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2">
              <w:rPr>
                <w:rFonts w:ascii="Times New Roman" w:hAnsi="Times New Roman" w:cs="Times New Roman"/>
                <w:sz w:val="28"/>
                <w:szCs w:val="28"/>
              </w:rPr>
              <w:t>Забезпечення ефективної реалізації державної політики у сфері обороноздатності держави, сприяння   створенню  умов  для охорони  та захисту  державного суверенітету, незалежності України </w:t>
            </w:r>
          </w:p>
        </w:tc>
      </w:tr>
      <w:tr w:rsidR="00F10276" w:rsidRPr="00F10276" w:rsidTr="00B9100E">
        <w:trPr>
          <w:trHeight w:hRule="exact" w:val="63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276" w:rsidRPr="00F10276" w:rsidRDefault="00F10276" w:rsidP="00F1027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>Термін реалізації Програми</w:t>
            </w:r>
          </w:p>
          <w:p w:rsidR="00F10276" w:rsidRPr="00F10276" w:rsidRDefault="00F10276" w:rsidP="00F1027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276" w:rsidRPr="00F10276" w:rsidRDefault="00F10276" w:rsidP="00F10276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0276" w:rsidRPr="00F10276" w:rsidRDefault="004A5E02" w:rsidP="004A5E0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10276" w:rsidRPr="00F10276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F10276" w:rsidRPr="00F10276" w:rsidRDefault="00F10276" w:rsidP="004A5E02">
            <w:pPr>
              <w:spacing w:line="280" w:lineRule="exact"/>
            </w:pPr>
          </w:p>
        </w:tc>
      </w:tr>
      <w:tr w:rsidR="00F10276" w:rsidRPr="00F10276" w:rsidTr="004A5E02">
        <w:trPr>
          <w:trHeight w:hRule="exact" w:val="108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0276" w:rsidRPr="00F10276" w:rsidRDefault="00F10276" w:rsidP="00F10276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орієнтовний обсяг фінансових ресурсів, необхідних для реалізації Програми</w:t>
            </w:r>
          </w:p>
          <w:p w:rsidR="00F10276" w:rsidRPr="00F10276" w:rsidRDefault="00F10276" w:rsidP="00F10276">
            <w:pPr>
              <w:spacing w:line="370" w:lineRule="exact"/>
              <w:jc w:val="center"/>
              <w:rPr>
                <w:b/>
              </w:rPr>
            </w:pPr>
            <w:r w:rsidRPr="00F102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(тис. грн.)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276" w:rsidRPr="00F10276" w:rsidRDefault="004A5E02" w:rsidP="004A5E02">
            <w:pPr>
              <w:widowControl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10</w:t>
            </w:r>
            <w:r w:rsidR="001D11D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 xml:space="preserve"> </w:t>
            </w:r>
            <w:r w:rsidR="00F10276" w:rsidRPr="00F102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0</w:t>
            </w:r>
            <w:r w:rsidR="00F10276" w:rsidRPr="00F102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,0</w:t>
            </w:r>
          </w:p>
        </w:tc>
      </w:tr>
      <w:tr w:rsidR="004A5E02" w:rsidRPr="00F10276" w:rsidTr="004A5E02">
        <w:trPr>
          <w:trHeight w:hRule="exact" w:val="60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5E02" w:rsidRPr="00F10276" w:rsidRDefault="004A5E02" w:rsidP="004A5E02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02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E02" w:rsidRPr="004A5E02" w:rsidRDefault="004A5E02" w:rsidP="004A5E0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  <w:t>П</w:t>
            </w:r>
            <w:r w:rsidRPr="004A5E02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  <w:t>ідвищення обороноздатності військових частин та підрозділів ЗСУ</w:t>
            </w:r>
          </w:p>
        </w:tc>
      </w:tr>
    </w:tbl>
    <w:p w:rsidR="00F10276" w:rsidRPr="00F10276" w:rsidRDefault="00F10276" w:rsidP="00F1027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F10276" w:rsidRPr="00F10276" w:rsidRDefault="00F10276" w:rsidP="00F10276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F10276" w:rsidRDefault="00F10276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F10276" w:rsidRPr="00F33AC2" w:rsidRDefault="00F10276" w:rsidP="004A5E02">
      <w:pPr>
        <w:shd w:val="clear" w:color="auto" w:fill="FFFFFF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C2B69" w:rsidRPr="00417B01" w:rsidRDefault="004C2B69" w:rsidP="004C2B69">
      <w:pPr>
        <w:widowControl/>
        <w:numPr>
          <w:ilvl w:val="0"/>
          <w:numId w:val="9"/>
        </w:numPr>
        <w:shd w:val="clear" w:color="auto" w:fill="FFFFFF"/>
        <w:ind w:left="345" w:right="225"/>
        <w:jc w:val="center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lastRenderedPageBreak/>
        <w:t>Загальні положення</w:t>
      </w:r>
    </w:p>
    <w:p w:rsidR="004C2B69" w:rsidRPr="00417B01" w:rsidRDefault="004C2B69" w:rsidP="00A94135">
      <w:pPr>
        <w:widowControl/>
        <w:shd w:val="clear" w:color="auto" w:fill="FFFFFF"/>
        <w:ind w:firstLine="709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Програма підтри</w:t>
      </w:r>
      <w:r w:rsidR="00A941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мки Збройних Сил України на 2026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 xml:space="preserve"> рік (далі - Програма) розроблена для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протиправних посягань, відповідно до положень Конституції України, Закону України «Про оборону України», Закону України «Про Збройні Сили України»,</w:t>
      </w:r>
      <w:r w:rsidR="00A94135"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  <w:t xml:space="preserve"> 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Указу Президента України від 24.02.2022 року №64/2022 «Про введення воєнного стану в Україні» (затвердженого Законом України від 24.02.2022 №2102/ІХ), Указ Президента України від 14.01.2025 року №26/2025 «Про подовження строку дії воєнного стану в Україні» (затвердженого Законом України від 15.01.2025 №4220-ІХ).</w:t>
      </w:r>
    </w:p>
    <w:p w:rsidR="004C2B69" w:rsidRDefault="004C2B69" w:rsidP="004C2B6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lang w:bidi="ar-SA"/>
        </w:rPr>
        <w:t>          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Програма спрямована на підтримку реалізації державної політики у сфері захисту незалежності та територіальної цілісності держави, а також надання допомоги військовим частинам та підрозділам Збройних Сил України під час військового стану.</w:t>
      </w:r>
    </w:p>
    <w:p w:rsidR="00417B01" w:rsidRPr="00417B01" w:rsidRDefault="00417B01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</w:p>
    <w:p w:rsidR="004C2B69" w:rsidRPr="00417B01" w:rsidRDefault="004C2B69" w:rsidP="00735595">
      <w:pPr>
        <w:widowControl/>
        <w:numPr>
          <w:ilvl w:val="0"/>
          <w:numId w:val="10"/>
        </w:numPr>
        <w:shd w:val="clear" w:color="auto" w:fill="FFFFFF"/>
        <w:ind w:left="345" w:right="225"/>
        <w:jc w:val="center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Визначення проблеми, на розв’язання якої спрямована програма</w:t>
      </w:r>
    </w:p>
    <w:p w:rsidR="004C2B69" w:rsidRPr="00417B01" w:rsidRDefault="004C2B69" w:rsidP="004C2B69">
      <w:pPr>
        <w:widowControl/>
        <w:shd w:val="clear" w:color="auto" w:fill="FFFFFF"/>
        <w:ind w:firstLine="709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 xml:space="preserve">У зв'язку зі збройною агресією російської федерації проти України, надважливим стає питання створення сучасних боєздатних, </w:t>
      </w:r>
      <w:proofErr w:type="spellStart"/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професійно</w:t>
      </w:r>
      <w:proofErr w:type="spellEnd"/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 xml:space="preserve"> підготовлених військових частин та підрозділів Збройних сил України, які б за своєю структурою, чисельністю і забезпеченістю відповідали покладеним на них завданням та стандартам збройних сил провідних країн світу. Основою цього є належне матеріально-технічне забезпечення військових частин щодо виконання військового обов’язку щодо захисту держави.</w:t>
      </w:r>
    </w:p>
    <w:p w:rsidR="004C2B69" w:rsidRPr="00417B01" w:rsidRDefault="004C2B69" w:rsidP="004C2B69">
      <w:pPr>
        <w:widowControl/>
        <w:shd w:val="clear" w:color="auto" w:fill="FFFFFF"/>
        <w:ind w:firstLine="709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В зв’язку із значними витратами держави на протистояння ворогу та через зна</w:t>
      </w:r>
      <w:r w:rsidR="00A941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чні проблеми із наповненням дохі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дної частини державного бюджету через проведення бойових дій, виникають поточні, але нагальні потреби матеріально-технічного забезпечення військових частин та підрозділів Збройних сил України.</w:t>
      </w:r>
    </w:p>
    <w:p w:rsidR="004C2B69" w:rsidRPr="00417B01" w:rsidRDefault="004C2B69" w:rsidP="004C2B69">
      <w:pPr>
        <w:widowControl/>
        <w:shd w:val="clear" w:color="auto" w:fill="FFFFFF"/>
        <w:ind w:firstLine="709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Проблеми фінансового забезпечення ЗСУ є актуальними і потребують першочергового вирішення. З причини недостатнього наповнення та дефіциту державного бюджету виникає потреба у здійсненні додаткового фінансування військових частин та підрозділів Збройних сил України, з місцевого бюджету та інших джерел, незаборонених законодавством.</w:t>
      </w:r>
    </w:p>
    <w:p w:rsidR="004C2B69" w:rsidRPr="00417B01" w:rsidRDefault="004C2B69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lang w:bidi="ar-SA"/>
        </w:rPr>
        <w:t>      </w:t>
      </w:r>
    </w:p>
    <w:p w:rsidR="004C2B69" w:rsidRPr="00417B01" w:rsidRDefault="004C2B69" w:rsidP="004C2B69">
      <w:pPr>
        <w:widowControl/>
        <w:shd w:val="clear" w:color="auto" w:fill="FFFFFF"/>
        <w:jc w:val="center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4. Мета програми</w:t>
      </w:r>
    </w:p>
    <w:p w:rsidR="004C2B69" w:rsidRDefault="004C2B69" w:rsidP="004C2B6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          Метою Програми є забезпечення ефективної підтримки реалізації державної політики у сфері обороноздатності держави, сприяння   створенню  умов  для охорони  та захисту  державного суверенітету, незалежності України  та  безпосередньо  території і цивільного населення. Покращення забезпечення військових частин та підрозділів Збройних сил України матеріально-технічними засобами для підтримання боєготовності особового складу та ефективного виконання завдань щодо захисту територіальної цілісності країни шляхом надання субвенції з місцевого бюджету.      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shd w:val="clear" w:color="auto" w:fill="FFFFFF"/>
          <w:lang w:bidi="ar-SA"/>
        </w:rPr>
        <w:t> </w:t>
      </w:r>
    </w:p>
    <w:p w:rsidR="00A94135" w:rsidRPr="00417B01" w:rsidRDefault="00A94135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</w:p>
    <w:p w:rsidR="004C2B69" w:rsidRPr="00417B01" w:rsidRDefault="004C2B69" w:rsidP="004C2B69">
      <w:pPr>
        <w:widowControl/>
        <w:shd w:val="clear" w:color="auto" w:fill="FFFFFF"/>
        <w:jc w:val="center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lastRenderedPageBreak/>
        <w:t>5. Обґрунтування шляхів і засобів розв’язання проблеми, обсягів та джерел фінансування, строки виконання програми</w:t>
      </w:r>
    </w:p>
    <w:p w:rsidR="004C2B69" w:rsidRPr="00417B01" w:rsidRDefault="004C2B69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lang w:bidi="ar-SA"/>
        </w:rPr>
        <w:t>          </w:t>
      </w:r>
    </w:p>
    <w:p w:rsidR="004C2B69" w:rsidRPr="00417B01" w:rsidRDefault="004C2B69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          Програма спрямована на підвищення ефективності здійснення узгоджених заходів щодо оборони територіальної цілісності України, покращення матеріального забезпечення діяльності військових частин та підрозділів ЗСУ при виконанні службових та бойових завдань.</w:t>
      </w:r>
    </w:p>
    <w:p w:rsidR="004C2B69" w:rsidRPr="00417B01" w:rsidRDefault="004C2B69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          Соціальне значення проблеми, пов'язаної з обороною держави, зумовлює необхідність як централізованого бюджетного фінансування, так і залучення ресурсів місцевих бюджетів на виконання цієї Програми.</w:t>
      </w:r>
    </w:p>
    <w:p w:rsidR="004C2B69" w:rsidRPr="00417B01" w:rsidRDefault="004C2B69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 xml:space="preserve">          Практична реалізація завдань, визначених Програмою, буде досягатися шляхом здійснення фінансового забезпечення Програми за рахунок коштів бюджету 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Ворохтянської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 xml:space="preserve"> селищної територіальної громади та інших джерел фінансування, незаборонених законодавством України.</w:t>
      </w:r>
    </w:p>
    <w:p w:rsidR="004C2B69" w:rsidRPr="00417B01" w:rsidRDefault="004C2B69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 xml:space="preserve">          Обсяги фінансових ресурсів бюджету 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Ворохтянсько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ї селищної територіальної громади та напрямки їх використання визначаються в залежності від потреби, фінансових можливостей бюджету.</w:t>
      </w:r>
    </w:p>
    <w:p w:rsidR="004C2B69" w:rsidRPr="00417B01" w:rsidRDefault="004C2B69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shd w:val="clear" w:color="auto" w:fill="FFFFFF"/>
          <w:lang w:bidi="ar-SA"/>
        </w:rPr>
        <w:t>        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 Фінансування Програми здійснюватиметься за рахунок коштів місцевого бюджету передбачених на відповідний рік, шляхом надання субвенції до державного бюджету. Орієнтовний  обсяг фінансування Програми становить: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shd w:val="clear" w:color="auto" w:fill="FFFFFF"/>
          <w:lang w:bidi="ar-SA"/>
        </w:rPr>
        <w:t>    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1</w:t>
      </w:r>
      <w:r w:rsidR="004C2D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0 0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00 000 грн.</w:t>
      </w:r>
    </w:p>
    <w:p w:rsidR="004C2B69" w:rsidRDefault="004C2B69" w:rsidP="004C2B6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shd w:val="clear" w:color="auto" w:fill="FFFFFF"/>
          <w:lang w:bidi="ar-SA"/>
        </w:rPr>
        <w:t>          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Реалізація Програми </w:t>
      </w:r>
      <w:r w:rsidR="003D352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буде </w:t>
      </w:r>
      <w:proofErr w:type="spellStart"/>
      <w:r w:rsidR="003D352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здійснюватись</w:t>
      </w:r>
      <w:proofErr w:type="spellEnd"/>
      <w:r w:rsidR="003D352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протягом 2026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shd w:val="clear" w:color="auto" w:fill="FFFFFF"/>
          <w:lang w:bidi="ar-SA"/>
        </w:rPr>
        <w:t> 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року за рахунок коштів бюджету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bdr w:val="none" w:sz="0" w:space="0" w:color="auto" w:frame="1"/>
          <w:shd w:val="clear" w:color="auto" w:fill="FFFFFF"/>
          <w:lang w:bidi="ar-SA"/>
        </w:rPr>
        <w:t> 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Ворохтянсь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кої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селищної територіальної громади, виходячи з його реальних можливостей, а також інших джерел, не заборонених чинним законодавством.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</w:p>
    <w:p w:rsidR="00417B01" w:rsidRDefault="00417B01" w:rsidP="004C2B6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</w:p>
    <w:p w:rsidR="001B31F3" w:rsidRDefault="001B31F3" w:rsidP="001B31F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6. </w:t>
      </w:r>
      <w:r w:rsidRPr="001B31F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Порядок надання фінансової підтримки та механізм реалізації Програми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Реалізація Програми здійснюється шляхом надання фінансової підтримки військовим частинам, підрозділам та іншим військовим формуванням, які беруть участь у відсічі та стримуванні збройної агресії проти України, забезпеченні національної безпеки і оборони.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Фінансова підтримка надається у межах бюджетних призначень, передбачених у місцевому бюджеті </w:t>
      </w:r>
      <w:r w:rsidR="00F10276" w:rsidRPr="00F102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затверджених рішенням ради про місцевий бюджет та/або внесення змін до нього, у тому числі за рахунок </w:t>
      </w:r>
      <w:r w:rsidR="00F10276" w:rsidRPr="00F1027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вільного залишку бюджетних коштів</w:t>
      </w:r>
      <w:r w:rsidR="00F10276" w:rsidRPr="00F102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F102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Підставою для розгляду питання щодо надання фінансової підтримки є заява (подання, лист), що надходить </w:t>
      </w:r>
      <w:r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протягом бюджетного року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від:</w:t>
      </w:r>
    </w:p>
    <w:p w:rsidR="00417B01" w:rsidRPr="001B31F3" w:rsidRDefault="00417B01" w:rsidP="001B31F3">
      <w:pPr>
        <w:pStyle w:val="ac"/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військової частини;</w:t>
      </w:r>
      <w:r w:rsidR="001B31F3" w:rsidRP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</w:p>
    <w:p w:rsidR="00417B01" w:rsidRPr="00417B01" w:rsidRDefault="00417B01" w:rsidP="00417B01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відповідного органу військового управління;</w:t>
      </w:r>
    </w:p>
    <w:p w:rsidR="00417B01" w:rsidRPr="00417B01" w:rsidRDefault="00417B01" w:rsidP="00417B01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центрального органу виконавчої влади, до сфери управління якого належить військова частина.</w:t>
      </w:r>
    </w:p>
    <w:p w:rsidR="00417B01" w:rsidRPr="00417B01" w:rsidRDefault="00417B01" w:rsidP="001B31F3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Заява повинна містити:</w:t>
      </w:r>
    </w:p>
    <w:p w:rsidR="00417B01" w:rsidRPr="00417B01" w:rsidRDefault="00417B01" w:rsidP="00417B01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повну назву військової частини (підрозділу);</w:t>
      </w:r>
    </w:p>
    <w:p w:rsidR="00417B01" w:rsidRPr="00417B01" w:rsidRDefault="00417B01" w:rsidP="00417B01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обґрунтування потреби у фінансовій підтримці;</w:t>
      </w:r>
    </w:p>
    <w:p w:rsidR="00417B01" w:rsidRPr="00417B01" w:rsidRDefault="00417B01" w:rsidP="00417B01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напрям (ціль) використання коштів;</w:t>
      </w:r>
    </w:p>
    <w:p w:rsidR="00417B01" w:rsidRPr="00417B01" w:rsidRDefault="00417B01" w:rsidP="00417B01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орієнтовний обсяг необхідних коштів;</w:t>
      </w:r>
    </w:p>
    <w:p w:rsidR="001B31F3" w:rsidRDefault="00417B01" w:rsidP="00417B01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lastRenderedPageBreak/>
        <w:t>інформацію про головного розпорядника коштів державного бюджету.</w:t>
      </w:r>
    </w:p>
    <w:p w:rsidR="00417B01" w:rsidRPr="001B31F3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Заяви щодо надання фінансової підтримки підлягають </w:t>
      </w:r>
      <w:r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попередньому розгляду постійною комісією </w:t>
      </w:r>
      <w:r w:rsidR="001B31F3"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з питань економіки, фінансів та бюджету</w:t>
      </w:r>
      <w:r w:rsid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Ворохтянської селищної ради</w:t>
      </w:r>
      <w:r w:rsidRP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.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Під час розгляду заяв постійна комісія ради з питань бюджету:</w:t>
      </w:r>
    </w:p>
    <w:p w:rsidR="00417B01" w:rsidRPr="00417B01" w:rsidRDefault="00417B01" w:rsidP="00417B01">
      <w:pPr>
        <w:widowControl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перевіряє їх відповідність меті та завданням Програми;</w:t>
      </w:r>
    </w:p>
    <w:p w:rsidR="00417B01" w:rsidRPr="00417B01" w:rsidRDefault="00417B01" w:rsidP="00417B01">
      <w:pPr>
        <w:widowControl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оцінює обґрунтованість заявленої потреби;</w:t>
      </w:r>
    </w:p>
    <w:p w:rsidR="00417B01" w:rsidRPr="00417B01" w:rsidRDefault="00417B01" w:rsidP="00417B01">
      <w:pPr>
        <w:widowControl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враховує наявність бюджетних призначень;</w:t>
      </w:r>
    </w:p>
    <w:p w:rsidR="00417B01" w:rsidRPr="00417B01" w:rsidRDefault="00417B01" w:rsidP="00417B01">
      <w:pPr>
        <w:widowControl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визначає пріоритетність фінансування з урахуванням </w:t>
      </w:r>
      <w:proofErr w:type="spellStart"/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безпекової</w:t>
      </w:r>
      <w:proofErr w:type="spellEnd"/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ситуації.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За результатами розгляду постійна комісія ради з питань бюджету готує </w:t>
      </w:r>
      <w:r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висновки та рекомендації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для підготовки проєкту рішення ради.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На підставі висновків та рекомендацій постійної комісії ради з питань </w:t>
      </w:r>
      <w:r w:rsidR="001B31F3"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економіки, фінансів та бюджету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фінансовий відділ Ворохтянської селищної ради готує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proofErr w:type="spellStart"/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проєкт</w:t>
      </w:r>
      <w:proofErr w:type="spellEnd"/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рішення органу місцевого самоврядування про надання фінансової підтримки.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</w:t>
      </w:r>
    </w:p>
    <w:p w:rsidR="00417B01" w:rsidRPr="001B31F3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Рішення про надання фінансової підтримки </w:t>
      </w:r>
      <w:r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затверджується на пленарному засіданні ради</w:t>
      </w:r>
      <w:r w:rsidRP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.</w:t>
      </w:r>
      <w:r w:rsidR="001B31F3" w:rsidRP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У рішенні ради визначаються:</w:t>
      </w:r>
    </w:p>
    <w:p w:rsidR="00417B01" w:rsidRPr="00417B01" w:rsidRDefault="00417B01" w:rsidP="00417B01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обсяг фінансової підтримки;</w:t>
      </w:r>
    </w:p>
    <w:p w:rsidR="00417B01" w:rsidRPr="00417B01" w:rsidRDefault="00417B01" w:rsidP="00417B01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цільове призначення коштів;</w:t>
      </w:r>
    </w:p>
    <w:p w:rsidR="00417B01" w:rsidRPr="00417B01" w:rsidRDefault="00417B01" w:rsidP="00417B01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головний розпорядник коштів державного бюджету;</w:t>
      </w:r>
    </w:p>
    <w:p w:rsidR="00417B01" w:rsidRDefault="00417B01" w:rsidP="00417B01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форма надання фінансової підтримки.</w:t>
      </w:r>
    </w:p>
    <w:p w:rsidR="001B31F3" w:rsidRPr="001B31F3" w:rsidRDefault="001B31F3" w:rsidP="001B31F3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</w:p>
    <w:p w:rsidR="00417B01" w:rsidRPr="00417B01" w:rsidRDefault="001B31F3" w:rsidP="001B31F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6.2</w:t>
      </w:r>
      <w:r w:rsidR="00417B01" w:rsidRPr="00417B0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. Механізм фінансування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Фінансування заходів Програми здійснюється </w:t>
      </w:r>
      <w:r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шляхом надання міжбюджетного трансферту (субвенції) з місцевого бюджету державному бюджету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відповідно до пункту 225 розділу VI «Прикінцеві та перехідні положення» Бюджетного кодексу України.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Надання субвенції здійснюється на підставі рішення ради та укладеної угоди</w:t>
      </w:r>
      <w:r w:rsidR="005B0C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про міжбюджетний трансферт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 відповідним головним розпорядником коштів державного бюджету.</w:t>
      </w:r>
      <w:r w:rsidR="001B31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</w:p>
    <w:p w:rsid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Перерахування коштів проводиться через органи Державної казначейської служби України відповідно до вимог бюджетного законодавства.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Використання коштів здійснюється головним розпорядником коштів державного бюджету відповідно до визначеного цільового призначення.</w:t>
      </w:r>
    </w:p>
    <w:p w:rsidR="00417B01" w:rsidRPr="00417B01" w:rsidRDefault="00417B01" w:rsidP="001B31F3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>Контроль за цільовим та ефективним використанням коштів здійснюється у порядку, встановленому законодавством України.</w:t>
      </w:r>
    </w:p>
    <w:p w:rsidR="00417B01" w:rsidRPr="00417B01" w:rsidRDefault="001B31F3" w:rsidP="004C2B69">
      <w:pPr>
        <w:widowControl/>
        <w:shd w:val="clear" w:color="auto" w:fill="FFFFFF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</w:p>
    <w:p w:rsidR="004C2B69" w:rsidRPr="00417B01" w:rsidRDefault="001B31F3" w:rsidP="004C2B69">
      <w:pPr>
        <w:widowControl/>
        <w:shd w:val="clear" w:color="auto" w:fill="FFFFFF"/>
        <w:jc w:val="center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7</w:t>
      </w:r>
      <w:r w:rsidR="004C2B69" w:rsidRPr="00417B0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.  Перелік завдань і заходів Програми та результативні показники</w:t>
      </w:r>
    </w:p>
    <w:p w:rsidR="004C2B69" w:rsidRPr="00417B01" w:rsidRDefault="004C2B69" w:rsidP="004C2B69">
      <w:pPr>
        <w:widowControl/>
        <w:shd w:val="clear" w:color="auto" w:fill="FFFFFF"/>
        <w:ind w:firstLine="709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>Програмою передбачається здійснити ряд завдань та заходів щодо  підвищення обороноздатності країни, забезпечення військових частин та підрозділів ЗСУ.</w:t>
      </w:r>
    </w:p>
    <w:p w:rsidR="002655DE" w:rsidRPr="001B31F3" w:rsidRDefault="004C2B69" w:rsidP="001B31F3">
      <w:pPr>
        <w:widowControl/>
        <w:shd w:val="clear" w:color="auto" w:fill="FFFFFF"/>
        <w:ind w:firstLine="709"/>
        <w:jc w:val="both"/>
        <w:rPr>
          <w:rFonts w:ascii="Arial" w:eastAsia="Times New Roman" w:hAnsi="Arial" w:cs="Arial"/>
          <w:color w:val="0D0D0D" w:themeColor="text1" w:themeTint="F2"/>
          <w:sz w:val="21"/>
          <w:szCs w:val="21"/>
          <w:lang w:bidi="ar-SA"/>
        </w:rPr>
      </w:pP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t xml:space="preserve">Результативним показником ефективності виконання заходів Програми – є проведення видатків, необхідних для покращення матеріально-технічної бази військових частин та інших підрозділів Збройних сил України, що </w:t>
      </w:r>
      <w:r w:rsidRPr="00417B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bidi="ar-SA"/>
        </w:rPr>
        <w:lastRenderedPageBreak/>
        <w:t>підвищить ефективність цивільно-військового співробітництва по сприянню обороноздатності країни, забезпечення суверенітету, територіальної цілісності, національної безпеки.</w:t>
      </w:r>
    </w:p>
    <w:p w:rsidR="004C2B69" w:rsidRPr="00417B01" w:rsidRDefault="004C2B69" w:rsidP="004C2B69">
      <w:pPr>
        <w:shd w:val="clear" w:color="auto" w:fill="FFFFFF"/>
        <w:rPr>
          <w:rFonts w:ascii="Times New Roman" w:eastAsia="Times New Roman" w:hAnsi="Times New Roman"/>
          <w:b/>
          <w:bCs/>
          <w:color w:val="0D0D0D" w:themeColor="text1" w:themeTint="F2"/>
          <w:bdr w:val="none" w:sz="0" w:space="0" w:color="auto" w:frame="1"/>
        </w:rPr>
      </w:pPr>
    </w:p>
    <w:p w:rsidR="004C2B69" w:rsidRPr="00417B01" w:rsidRDefault="001B31F3" w:rsidP="004C2B69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D0D0D" w:themeColor="text1" w:themeTint="F2"/>
          <w:sz w:val="21"/>
          <w:szCs w:val="2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8</w:t>
      </w:r>
      <w:r w:rsidR="004C2B69" w:rsidRPr="00417B01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. Оцінка ефективності виконання заходів Програми</w:t>
      </w:r>
      <w:r w:rsidR="004C2B69" w:rsidRPr="00417B01">
        <w:rPr>
          <w:rFonts w:ascii="Arial" w:hAnsi="Arial" w:cs="Arial"/>
          <w:color w:val="0D0D0D" w:themeColor="text1" w:themeTint="F2"/>
          <w:sz w:val="21"/>
          <w:szCs w:val="21"/>
        </w:rPr>
        <w:t> </w:t>
      </w:r>
    </w:p>
    <w:p w:rsidR="004C2B69" w:rsidRDefault="004C2B69" w:rsidP="004C2B69">
      <w:pPr>
        <w:pStyle w:val="ab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         Реалізація заходів Програми сприятиме вирішенню питань за тими напрямами, де наявний дефіцит ресурсів державного бюджету та забезпечить підвищення обороноздатності держави, виконання заходів правового режиму військового стану.</w:t>
      </w:r>
    </w:p>
    <w:p w:rsidR="001B31F3" w:rsidRPr="00417B01" w:rsidRDefault="001B31F3" w:rsidP="004C2B69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C2B69" w:rsidRPr="00417B01" w:rsidRDefault="001B31F3" w:rsidP="004C2B69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D0D0D" w:themeColor="text1" w:themeTint="F2"/>
          <w:sz w:val="21"/>
          <w:szCs w:val="2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9</w:t>
      </w:r>
      <w:r w:rsidR="004C2B69" w:rsidRPr="00417B01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. Координація та контроль за ходом виконання Програми</w:t>
      </w:r>
    </w:p>
    <w:p w:rsidR="004C2B69" w:rsidRPr="00417B01" w:rsidRDefault="004C2B69" w:rsidP="004C2B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Координацію дій між виконавцями та контроль </w:t>
      </w:r>
      <w:r w:rsidR="00F10276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за виконанням програми здійснює </w:t>
      </w:r>
      <w:r w:rsidR="004A5E02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селищний голова </w:t>
      </w:r>
      <w:r w:rsidR="001B31F3">
        <w:rPr>
          <w:color w:val="0D0D0D" w:themeColor="text1" w:themeTint="F2"/>
          <w:sz w:val="28"/>
          <w:szCs w:val="28"/>
          <w:bdr w:val="none" w:sz="0" w:space="0" w:color="auto" w:frame="1"/>
        </w:rPr>
        <w:t>Ворохтянської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 селищної ради.</w:t>
      </w:r>
      <w:r w:rsidR="00F10276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4A5E02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</w:p>
    <w:p w:rsidR="004C2B69" w:rsidRPr="00417B01" w:rsidRDefault="004C2B69" w:rsidP="004C2B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Фінансування програми здійснюється в межах коштів виділени</w:t>
      </w:r>
      <w:r w:rsidR="001B31F3">
        <w:rPr>
          <w:color w:val="0D0D0D" w:themeColor="text1" w:themeTint="F2"/>
          <w:sz w:val="28"/>
          <w:szCs w:val="28"/>
          <w:bdr w:val="none" w:sz="0" w:space="0" w:color="auto" w:frame="1"/>
        </w:rPr>
        <w:t>х на 2026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рік.</w:t>
      </w:r>
    </w:p>
    <w:p w:rsidR="004C2B69" w:rsidRPr="00417B01" w:rsidRDefault="004C2B69" w:rsidP="004C2B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Контроль за виконанням Програми здійснює</w:t>
      </w:r>
      <w:r w:rsidRPr="00417B01">
        <w:rPr>
          <w:rFonts w:ascii="Calibri" w:hAnsi="Calibri" w:cs="Calibri"/>
          <w:color w:val="0D0D0D" w:themeColor="text1" w:themeTint="F2"/>
          <w:sz w:val="22"/>
          <w:szCs w:val="22"/>
          <w:bdr w:val="none" w:sz="0" w:space="0" w:color="auto" w:frame="1"/>
        </w:rPr>
        <w:t> 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постійна комісія з питань </w:t>
      </w:r>
      <w:r w:rsidR="001B31F3" w:rsidRPr="001B31F3">
        <w:rPr>
          <w:bCs/>
          <w:color w:val="0D0D0D" w:themeColor="text1" w:themeTint="F2"/>
          <w:sz w:val="28"/>
          <w:szCs w:val="28"/>
          <w:bdr w:val="none" w:sz="0" w:space="0" w:color="auto" w:frame="1"/>
          <w:lang w:bidi="uk-UA"/>
        </w:rPr>
        <w:t>економіки, фінансів та бюджету</w:t>
      </w:r>
      <w:r w:rsidR="001B31F3">
        <w:rPr>
          <w:bCs/>
          <w:color w:val="0D0D0D" w:themeColor="text1" w:themeTint="F2"/>
          <w:sz w:val="28"/>
          <w:szCs w:val="28"/>
          <w:bdr w:val="none" w:sz="0" w:space="0" w:color="auto" w:frame="1"/>
          <w:lang w:bidi="uk-UA"/>
        </w:rPr>
        <w:t xml:space="preserve"> Ворохтянської селищної ради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4C2B69" w:rsidRPr="00417B01" w:rsidRDefault="004C2B69" w:rsidP="004C2B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Узагальнення поданої інформації про хід виконання Програми забезпеч</w:t>
      </w:r>
      <w:r w:rsidR="005B0C1D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ує фінансовий 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відділ </w:t>
      </w:r>
      <w:r w:rsidR="001B31F3">
        <w:rPr>
          <w:color w:val="0D0D0D" w:themeColor="text1" w:themeTint="F2"/>
          <w:sz w:val="28"/>
          <w:szCs w:val="28"/>
          <w:bdr w:val="none" w:sz="0" w:space="0" w:color="auto" w:frame="1"/>
        </w:rPr>
        <w:t>Ворохтянської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селищної ради, здійснюючи при цьому обґрунтовану оцінку стану реалізації Програми, при необхідності, пропозиції щодо доцільності продовження тих чи інших заходів, координує дії виконавців Програми.</w:t>
      </w:r>
    </w:p>
    <w:p w:rsidR="004C2B69" w:rsidRPr="00417B01" w:rsidRDefault="004C2B69" w:rsidP="004C2B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>Хід виконання Програми періодично заслуховується на нарадах, колегіях, сесіях, засіданні виконавчого комітету </w:t>
      </w:r>
      <w:r w:rsidR="001B31F3">
        <w:rPr>
          <w:color w:val="0D0D0D" w:themeColor="text1" w:themeTint="F2"/>
          <w:sz w:val="28"/>
          <w:szCs w:val="28"/>
          <w:bdr w:val="none" w:sz="0" w:space="0" w:color="auto" w:frame="1"/>
        </w:rPr>
        <w:t>Ворохтянської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селищної ради.</w:t>
      </w:r>
    </w:p>
    <w:p w:rsidR="004C2B69" w:rsidRPr="00417B01" w:rsidRDefault="004C2B69" w:rsidP="004C2B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Головним розпорядником коштів, виділених на фінансування заходів Програми є фінансовий відділ </w:t>
      </w:r>
      <w:r w:rsidR="001B31F3">
        <w:rPr>
          <w:color w:val="0D0D0D" w:themeColor="text1" w:themeTint="F2"/>
          <w:sz w:val="28"/>
          <w:szCs w:val="28"/>
          <w:bdr w:val="none" w:sz="0" w:space="0" w:color="auto" w:frame="1"/>
        </w:rPr>
        <w:t>Ворохтянської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селищної ради.</w:t>
      </w:r>
    </w:p>
    <w:p w:rsidR="004C2B69" w:rsidRPr="00417B01" w:rsidRDefault="004C2B69" w:rsidP="004C2B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У разі зміни у законодавчих актах України, які можуть вплинути на результат реалізації запланованих Програмою заходів, передбачити винесення на розгляд сесії </w:t>
      </w:r>
      <w:r w:rsidR="001B31F3">
        <w:rPr>
          <w:color w:val="0D0D0D" w:themeColor="text1" w:themeTint="F2"/>
          <w:sz w:val="28"/>
          <w:szCs w:val="28"/>
          <w:bdr w:val="none" w:sz="0" w:space="0" w:color="auto" w:frame="1"/>
        </w:rPr>
        <w:t>Ворохтянської</w:t>
      </w:r>
      <w:r w:rsidRPr="00417B0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селищної ради поправок і доповнень.</w:t>
      </w:r>
    </w:p>
    <w:p w:rsidR="004C2B69" w:rsidRPr="00F33AC2" w:rsidRDefault="004C2B69" w:rsidP="004C2B69">
      <w:pPr>
        <w:shd w:val="clear" w:color="auto" w:fill="FFFFFF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2655DE" w:rsidRDefault="002655DE" w:rsidP="002655DE">
      <w:pPr>
        <w:rPr>
          <w:rFonts w:ascii="14" w:eastAsia="Times New Roman" w:hAnsi="14"/>
          <w:bCs/>
          <w:sz w:val="26"/>
          <w:szCs w:val="26"/>
          <w:bdr w:val="none" w:sz="0" w:space="0" w:color="auto" w:frame="1"/>
        </w:rPr>
      </w:pPr>
    </w:p>
    <w:p w:rsidR="002924C6" w:rsidRPr="0018024E" w:rsidRDefault="002924C6" w:rsidP="0088743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Секретар </w:t>
      </w:r>
      <w:r w:rsidRPr="0018024E">
        <w:rPr>
          <w:rFonts w:ascii="Times New Roman" w:hAnsi="Times New Roman"/>
          <w:b/>
          <w:sz w:val="28"/>
          <w:szCs w:val="28"/>
        </w:rPr>
        <w:t xml:space="preserve"> ради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18024E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Ярослав</w:t>
      </w:r>
      <w:r w:rsidRPr="0018024E">
        <w:rPr>
          <w:rFonts w:ascii="Times New Roman" w:hAnsi="Times New Roman"/>
          <w:b/>
          <w:sz w:val="28"/>
          <w:szCs w:val="28"/>
        </w:rPr>
        <w:t xml:space="preserve"> БІЛОУС</w:t>
      </w:r>
    </w:p>
    <w:p w:rsidR="002924C6" w:rsidRPr="00B26577" w:rsidRDefault="002924C6" w:rsidP="002924C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A0D05" w:rsidRPr="002655DE" w:rsidRDefault="005A0D05" w:rsidP="005A0D0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D05" w:rsidRDefault="005A0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0D05" w:rsidRDefault="005A0D05" w:rsidP="002655DE">
      <w:pPr>
        <w:pStyle w:val="a6"/>
        <w:rPr>
          <w:rFonts w:ascii="Times New Roman" w:hAnsi="Times New Roman" w:cs="Times New Roman"/>
          <w:sz w:val="28"/>
          <w:szCs w:val="28"/>
        </w:rPr>
        <w:sectPr w:rsidR="005A0D05" w:rsidSect="00967328">
          <w:pgSz w:w="11909" w:h="16840"/>
          <w:pgMar w:top="993" w:right="852" w:bottom="709" w:left="1701" w:header="0" w:footer="3" w:gutter="0"/>
          <w:cols w:space="720"/>
          <w:noEndnote/>
          <w:docGrid w:linePitch="360"/>
        </w:sectPr>
      </w:pPr>
    </w:p>
    <w:p w:rsidR="005A0D05" w:rsidRPr="002924C6" w:rsidRDefault="002924C6" w:rsidP="005A0D05">
      <w:pPr>
        <w:shd w:val="clear" w:color="auto" w:fill="FFFFFF"/>
        <w:ind w:right="375"/>
        <w:jc w:val="center"/>
        <w:rPr>
          <w:rFonts w:ascii="14" w:eastAsia="Times New Roman" w:hAnsi="14"/>
          <w:b/>
          <w:bCs/>
          <w:sz w:val="28"/>
          <w:szCs w:val="28"/>
        </w:rPr>
      </w:pPr>
      <w:r w:rsidRPr="002924C6">
        <w:rPr>
          <w:rFonts w:ascii="14" w:eastAsia="Times New Roman" w:hAnsi="14"/>
          <w:b/>
          <w:bCs/>
          <w:sz w:val="28"/>
          <w:szCs w:val="28"/>
        </w:rPr>
        <w:lastRenderedPageBreak/>
        <w:t>П</w:t>
      </w:r>
      <w:r w:rsidR="005A0D05" w:rsidRPr="002924C6">
        <w:rPr>
          <w:rFonts w:ascii="14" w:eastAsia="Times New Roman" w:hAnsi="14"/>
          <w:b/>
          <w:bCs/>
          <w:sz w:val="28"/>
          <w:szCs w:val="28"/>
        </w:rPr>
        <w:t xml:space="preserve">орядок заходів </w:t>
      </w:r>
    </w:p>
    <w:p w:rsidR="001D11DD" w:rsidRPr="001D11DD" w:rsidRDefault="002924C6" w:rsidP="001D11DD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4C6">
        <w:rPr>
          <w:rFonts w:ascii="14" w:eastAsia="Times New Roman" w:hAnsi="14" w:hint="eastAsia"/>
          <w:b/>
          <w:sz w:val="28"/>
          <w:szCs w:val="28"/>
        </w:rPr>
        <w:t>д</w:t>
      </w:r>
      <w:r w:rsidRPr="002924C6">
        <w:rPr>
          <w:rFonts w:ascii="14" w:eastAsia="Times New Roman" w:hAnsi="14"/>
          <w:b/>
          <w:sz w:val="28"/>
          <w:szCs w:val="28"/>
        </w:rPr>
        <w:t>о П</w:t>
      </w:r>
      <w:r w:rsidR="001D11DD">
        <w:rPr>
          <w:rFonts w:ascii="Times New Roman" w:hAnsi="Times New Roman" w:cs="Times New Roman"/>
          <w:b/>
          <w:sz w:val="28"/>
          <w:szCs w:val="28"/>
        </w:rPr>
        <w:t xml:space="preserve">рограми </w:t>
      </w:r>
      <w:r w:rsidR="001D11DD" w:rsidRPr="001D11DD">
        <w:rPr>
          <w:rFonts w:ascii="Times New Roman" w:hAnsi="Times New Roman" w:cs="Times New Roman"/>
          <w:b/>
          <w:sz w:val="28"/>
          <w:szCs w:val="28"/>
        </w:rPr>
        <w:t>Ворохтянської територіальної</w:t>
      </w:r>
      <w:r w:rsidR="001D1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1DD" w:rsidRPr="001D11DD">
        <w:rPr>
          <w:rFonts w:ascii="Times New Roman" w:hAnsi="Times New Roman" w:cs="Times New Roman"/>
          <w:b/>
          <w:sz w:val="28"/>
          <w:szCs w:val="28"/>
        </w:rPr>
        <w:t xml:space="preserve">громади на 2026 рік щодо підтримки </w:t>
      </w:r>
    </w:p>
    <w:p w:rsidR="002924C6" w:rsidRPr="002924C6" w:rsidRDefault="001D11DD" w:rsidP="001D11DD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DD">
        <w:rPr>
          <w:rFonts w:ascii="Times New Roman" w:hAnsi="Times New Roman" w:cs="Times New Roman"/>
          <w:b/>
          <w:sz w:val="28"/>
          <w:szCs w:val="28"/>
        </w:rPr>
        <w:t>військових частин Сил оборони України</w:t>
      </w:r>
    </w:p>
    <w:p w:rsidR="002924C6" w:rsidRPr="002924C6" w:rsidRDefault="002924C6" w:rsidP="002924C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105"/>
        <w:gridCol w:w="2126"/>
        <w:gridCol w:w="1276"/>
        <w:gridCol w:w="5953"/>
        <w:gridCol w:w="29"/>
      </w:tblGrid>
      <w:tr w:rsidR="005A0D05" w:rsidRPr="002924C6" w:rsidTr="005B0C1D">
        <w:trPr>
          <w:trHeight w:val="840"/>
        </w:trPr>
        <w:tc>
          <w:tcPr>
            <w:tcW w:w="704" w:type="dxa"/>
            <w:vMerge w:val="restart"/>
          </w:tcPr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3686" w:type="dxa"/>
            <w:vMerge w:val="restart"/>
          </w:tcPr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105" w:type="dxa"/>
            <w:vMerge w:val="restart"/>
          </w:tcPr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126" w:type="dxa"/>
            <w:vMerge w:val="restart"/>
          </w:tcPr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/>
                <w:sz w:val="24"/>
                <w:szCs w:val="24"/>
              </w:rPr>
              <w:t xml:space="preserve">Орієнтовні обсяги фінансування </w:t>
            </w:r>
          </w:p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/>
                <w:sz w:val="24"/>
                <w:szCs w:val="24"/>
              </w:rPr>
              <w:t>тис. грн</w:t>
            </w:r>
          </w:p>
          <w:p w:rsidR="005A0D05" w:rsidRPr="002924C6" w:rsidRDefault="005A0D05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0C1D" w:rsidRPr="002924C6" w:rsidTr="005B0C1D">
        <w:trPr>
          <w:gridAfter w:val="1"/>
          <w:wAfter w:w="29" w:type="dxa"/>
          <w:trHeight w:val="264"/>
        </w:trPr>
        <w:tc>
          <w:tcPr>
            <w:tcW w:w="704" w:type="dxa"/>
            <w:vMerge/>
          </w:tcPr>
          <w:p w:rsidR="005B0C1D" w:rsidRPr="002924C6" w:rsidRDefault="005B0C1D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B0C1D" w:rsidRPr="002924C6" w:rsidRDefault="005B0C1D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5B0C1D" w:rsidRPr="002924C6" w:rsidRDefault="005B0C1D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0C1D" w:rsidRPr="002924C6" w:rsidRDefault="005B0C1D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0C1D" w:rsidRPr="002924C6" w:rsidRDefault="005B0C1D" w:rsidP="00F933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1D" w:rsidRPr="002924C6" w:rsidRDefault="005B0C1D" w:rsidP="00F933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4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B0C1D" w:rsidRPr="002924C6" w:rsidTr="005B0C1D">
        <w:trPr>
          <w:gridAfter w:val="1"/>
          <w:wAfter w:w="29" w:type="dxa"/>
        </w:trPr>
        <w:tc>
          <w:tcPr>
            <w:tcW w:w="704" w:type="dxa"/>
            <w:vAlign w:val="center"/>
          </w:tcPr>
          <w:p w:rsidR="005B0C1D" w:rsidRPr="002924C6" w:rsidRDefault="005B0C1D" w:rsidP="002924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4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bottom"/>
          </w:tcPr>
          <w:p w:rsidR="005B0C1D" w:rsidRPr="002924C6" w:rsidRDefault="005B0C1D" w:rsidP="005B0C1D">
            <w:pPr>
              <w:pStyle w:val="a6"/>
              <w:ind w:firstLine="602"/>
              <w:jc w:val="both"/>
              <w:rPr>
                <w:rFonts w:ascii="Times New Roman" w:hAnsi="Times New Roman"/>
                <w:sz w:val="24"/>
                <w:szCs w:val="24"/>
                <w:lang w:bidi="uk-UA"/>
              </w:rPr>
            </w:pPr>
            <w:r w:rsidRPr="005B0C1D">
              <w:rPr>
                <w:rStyle w:val="211pt0"/>
                <w:rFonts w:eastAsia="Calibri"/>
                <w:sz w:val="24"/>
                <w:szCs w:val="24"/>
              </w:rPr>
              <w:t>Надання субвенції з місцевого бюджету державному бюджету для покращення матеріально-т</w:t>
            </w:r>
            <w:r>
              <w:rPr>
                <w:rStyle w:val="211pt0"/>
                <w:rFonts w:eastAsia="Calibri"/>
                <w:sz w:val="24"/>
                <w:szCs w:val="24"/>
              </w:rPr>
              <w:t>ехнічної бази військових частин з метою забезпечення обороноздатнос</w:t>
            </w:r>
            <w:r w:rsidRPr="005B0C1D">
              <w:rPr>
                <w:rStyle w:val="211pt0"/>
                <w:rFonts w:eastAsia="Calibri"/>
                <w:sz w:val="24"/>
                <w:szCs w:val="24"/>
              </w:rPr>
              <w:t>ті держави</w:t>
            </w:r>
          </w:p>
        </w:tc>
        <w:tc>
          <w:tcPr>
            <w:tcW w:w="1105" w:type="dxa"/>
            <w:vAlign w:val="center"/>
          </w:tcPr>
          <w:p w:rsidR="005B0C1D" w:rsidRPr="002924C6" w:rsidRDefault="005B0C1D" w:rsidP="005B0C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4C6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126" w:type="dxa"/>
            <w:vAlign w:val="center"/>
          </w:tcPr>
          <w:p w:rsidR="005B0C1D" w:rsidRPr="002924C6" w:rsidRDefault="005B0C1D" w:rsidP="002924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Фінансовий відділ Ворохтянської селищної ради </w:t>
            </w:r>
          </w:p>
        </w:tc>
        <w:tc>
          <w:tcPr>
            <w:tcW w:w="1276" w:type="dxa"/>
            <w:vAlign w:val="center"/>
          </w:tcPr>
          <w:p w:rsidR="005B0C1D" w:rsidRPr="002924C6" w:rsidRDefault="005B0C1D" w:rsidP="002924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1D" w:rsidRPr="002924C6" w:rsidRDefault="001D11DD" w:rsidP="002924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</w:tbl>
    <w:p w:rsidR="002924C6" w:rsidRDefault="002924C6" w:rsidP="002924C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924C6" w:rsidRDefault="002924C6" w:rsidP="002924C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25A81" w:rsidRPr="002655DE" w:rsidRDefault="002924C6" w:rsidP="002924C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</w:t>
      </w:r>
      <w:r w:rsidRPr="0018024E">
        <w:rPr>
          <w:rFonts w:ascii="Times New Roman" w:hAnsi="Times New Roman"/>
          <w:b/>
          <w:sz w:val="28"/>
          <w:szCs w:val="28"/>
        </w:rPr>
        <w:t xml:space="preserve"> ради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18024E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Ярослав</w:t>
      </w:r>
      <w:r w:rsidRPr="0018024E">
        <w:rPr>
          <w:rFonts w:ascii="Times New Roman" w:hAnsi="Times New Roman"/>
          <w:b/>
          <w:sz w:val="28"/>
          <w:szCs w:val="28"/>
        </w:rPr>
        <w:t xml:space="preserve"> БІЛОУС</w:t>
      </w:r>
    </w:p>
    <w:sectPr w:rsidR="00325A81" w:rsidRPr="002655DE" w:rsidSect="005A0D05">
      <w:pgSz w:w="16840" w:h="11909" w:orient="landscape"/>
      <w:pgMar w:top="374" w:right="1077" w:bottom="1009" w:left="122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8F" w:rsidRDefault="00082B8F">
      <w:r>
        <w:separator/>
      </w:r>
    </w:p>
  </w:endnote>
  <w:endnote w:type="continuationSeparator" w:id="0">
    <w:p w:rsidR="00082B8F" w:rsidRDefault="0008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8F" w:rsidRDefault="00082B8F"/>
  </w:footnote>
  <w:footnote w:type="continuationSeparator" w:id="0">
    <w:p w:rsidR="00082B8F" w:rsidRDefault="00082B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1AC"/>
    <w:multiLevelType w:val="multilevel"/>
    <w:tmpl w:val="073AB2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C7030"/>
    <w:multiLevelType w:val="multilevel"/>
    <w:tmpl w:val="994C92D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F5F81"/>
    <w:multiLevelType w:val="multilevel"/>
    <w:tmpl w:val="2F485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54498"/>
    <w:multiLevelType w:val="multilevel"/>
    <w:tmpl w:val="93FC9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F234F"/>
    <w:multiLevelType w:val="multilevel"/>
    <w:tmpl w:val="6BC85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02490"/>
    <w:multiLevelType w:val="multilevel"/>
    <w:tmpl w:val="6C242CA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D16A0"/>
    <w:multiLevelType w:val="multilevel"/>
    <w:tmpl w:val="396C421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F4B2B"/>
    <w:multiLevelType w:val="hybridMultilevel"/>
    <w:tmpl w:val="C59C99DE"/>
    <w:lvl w:ilvl="0" w:tplc="FB3E37B6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474623"/>
    <w:multiLevelType w:val="multilevel"/>
    <w:tmpl w:val="DE6A4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B52317"/>
    <w:multiLevelType w:val="hybridMultilevel"/>
    <w:tmpl w:val="73027840"/>
    <w:lvl w:ilvl="0" w:tplc="E86401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9B683F"/>
    <w:multiLevelType w:val="hybridMultilevel"/>
    <w:tmpl w:val="521ED6FC"/>
    <w:lvl w:ilvl="0" w:tplc="7C7AF9C0">
      <w:start w:val="1"/>
      <w:numFmt w:val="decimal"/>
      <w:lvlText w:val="%1."/>
      <w:lvlJc w:val="left"/>
      <w:pPr>
        <w:ind w:left="1320" w:hanging="612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4C6026"/>
    <w:multiLevelType w:val="multilevel"/>
    <w:tmpl w:val="7E563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E60B3"/>
    <w:multiLevelType w:val="multilevel"/>
    <w:tmpl w:val="4D96044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057FA1"/>
    <w:multiLevelType w:val="multilevel"/>
    <w:tmpl w:val="AD0E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81"/>
    <w:rsid w:val="00082B8F"/>
    <w:rsid w:val="00116C7F"/>
    <w:rsid w:val="00146658"/>
    <w:rsid w:val="001B31F3"/>
    <w:rsid w:val="001D11DD"/>
    <w:rsid w:val="0025391D"/>
    <w:rsid w:val="002655DE"/>
    <w:rsid w:val="002735FA"/>
    <w:rsid w:val="002924C6"/>
    <w:rsid w:val="00325A81"/>
    <w:rsid w:val="003638DE"/>
    <w:rsid w:val="003D352A"/>
    <w:rsid w:val="003F6EDC"/>
    <w:rsid w:val="00417B01"/>
    <w:rsid w:val="004668A5"/>
    <w:rsid w:val="004A5E02"/>
    <w:rsid w:val="004C2B69"/>
    <w:rsid w:val="004C2D79"/>
    <w:rsid w:val="00510655"/>
    <w:rsid w:val="005A0D05"/>
    <w:rsid w:val="005B0C1D"/>
    <w:rsid w:val="006130BC"/>
    <w:rsid w:val="00694851"/>
    <w:rsid w:val="00735595"/>
    <w:rsid w:val="007729BB"/>
    <w:rsid w:val="007D260D"/>
    <w:rsid w:val="0088743B"/>
    <w:rsid w:val="008959E1"/>
    <w:rsid w:val="008A4521"/>
    <w:rsid w:val="008B28D5"/>
    <w:rsid w:val="00915FB0"/>
    <w:rsid w:val="00967328"/>
    <w:rsid w:val="009939EC"/>
    <w:rsid w:val="009974F9"/>
    <w:rsid w:val="00A432DE"/>
    <w:rsid w:val="00A94135"/>
    <w:rsid w:val="00B47B88"/>
    <w:rsid w:val="00BA3528"/>
    <w:rsid w:val="00BC7598"/>
    <w:rsid w:val="00CB5633"/>
    <w:rsid w:val="00D45234"/>
    <w:rsid w:val="00D854F0"/>
    <w:rsid w:val="00E519F0"/>
    <w:rsid w:val="00E85445"/>
    <w:rsid w:val="00F10276"/>
    <w:rsid w:val="00F808B5"/>
    <w:rsid w:val="00F8461A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ідпис до таблиці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0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и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ий текст (2) + 11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и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1">
    <w:name w:val="Основний текст (3)"/>
    <w:basedOn w:val="a"/>
    <w:link w:val="3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82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Підпис до таблиці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link w:val="a7"/>
    <w:uiPriority w:val="1"/>
    <w:qFormat/>
    <w:rsid w:val="002655DE"/>
    <w:rPr>
      <w:color w:val="000000"/>
    </w:rPr>
  </w:style>
  <w:style w:type="table" w:styleId="a8">
    <w:name w:val="Table Grid"/>
    <w:basedOn w:val="a1"/>
    <w:uiPriority w:val="59"/>
    <w:rsid w:val="002655DE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rsid w:val="002655D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F6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EDC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C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1B3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ідпис до таблиці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0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и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ий текст (2) + 11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и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1">
    <w:name w:val="Основний текст (3)"/>
    <w:basedOn w:val="a"/>
    <w:link w:val="3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82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Підпис до таблиці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link w:val="a7"/>
    <w:uiPriority w:val="1"/>
    <w:qFormat/>
    <w:rsid w:val="002655DE"/>
    <w:rPr>
      <w:color w:val="000000"/>
    </w:rPr>
  </w:style>
  <w:style w:type="table" w:styleId="a8">
    <w:name w:val="Table Grid"/>
    <w:basedOn w:val="a1"/>
    <w:uiPriority w:val="59"/>
    <w:rsid w:val="002655DE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rsid w:val="002655D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F6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EDC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C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1B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8428</Words>
  <Characters>4805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2026-01-19T09:53:00Z</cp:lastPrinted>
  <dcterms:created xsi:type="dcterms:W3CDTF">2026-02-02T20:29:00Z</dcterms:created>
  <dcterms:modified xsi:type="dcterms:W3CDTF">2026-03-04T07:54:00Z</dcterms:modified>
</cp:coreProperties>
</file>